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658" w:lineRule="exact"/>
        <w:ind w:left="267" w:right="0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重庆市高等教育学会高等教育科学研究课题指南</w:t>
      </w:r>
    </w:p>
    <w:p>
      <w:pPr>
        <w:spacing w:before="0" w:line="658" w:lineRule="exact"/>
        <w:ind w:left="79" w:right="0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（</w:t>
      </w:r>
      <w:r>
        <w:rPr>
          <w:rFonts w:ascii="Times New Roman" w:eastAsia="Times New Roman"/>
          <w:b/>
          <w:sz w:val="36"/>
        </w:rPr>
        <w:t>2021</w:t>
      </w:r>
      <w:r>
        <w:rPr>
          <w:rFonts w:hint="eastAsia" w:ascii="微软雅黑" w:eastAsia="微软雅黑"/>
          <w:b/>
          <w:sz w:val="36"/>
        </w:rPr>
        <w:t>－</w:t>
      </w:r>
      <w:r>
        <w:rPr>
          <w:rFonts w:ascii="Times New Roman" w:eastAsia="Times New Roman"/>
          <w:b/>
          <w:sz w:val="36"/>
        </w:rPr>
        <w:t xml:space="preserve">2022 </w:t>
      </w:r>
      <w:r>
        <w:rPr>
          <w:rFonts w:hint="eastAsia" w:ascii="微软雅黑" w:eastAsia="微软雅黑"/>
          <w:b/>
          <w:sz w:val="36"/>
        </w:rPr>
        <w:t>年度）</w:t>
      </w:r>
    </w:p>
    <w:p>
      <w:pPr>
        <w:pStyle w:val="2"/>
        <w:spacing w:before="8"/>
        <w:ind w:left="1470"/>
      </w:pPr>
      <w:r>
        <w:t>一、选题说明</w:t>
      </w:r>
    </w:p>
    <w:p>
      <w:pPr>
        <w:pStyle w:val="3"/>
        <w:spacing w:before="22" w:line="364" w:lineRule="auto"/>
        <w:ind w:left="829" w:right="749" w:firstLine="640"/>
        <w:jc w:val="both"/>
        <w:rPr>
          <w:rFonts w:hint="eastAsia" w:ascii="仿宋" w:eastAsia="仿宋"/>
        </w:rPr>
      </w:pPr>
      <w:r>
        <w:rPr>
          <w:rFonts w:hint="eastAsia" w:ascii="仿宋" w:eastAsia="仿宋"/>
        </w:rPr>
        <w:t>（一</w:t>
      </w:r>
      <w:r>
        <w:rPr>
          <w:rFonts w:hint="eastAsia" w:ascii="仿宋" w:eastAsia="仿宋"/>
          <w:spacing w:val="-58"/>
        </w:rPr>
        <w:t>）</w:t>
      </w:r>
      <w:r>
        <w:rPr>
          <w:rFonts w:hint="eastAsia" w:ascii="仿宋" w:eastAsia="仿宋"/>
          <w:spacing w:val="-5"/>
        </w:rPr>
        <w:t>本课题指南选题方向仅供申报参考。课题申报者可参</w:t>
      </w:r>
      <w:r>
        <w:rPr>
          <w:rFonts w:hint="eastAsia" w:ascii="仿宋" w:eastAsia="仿宋"/>
          <w:spacing w:val="-11"/>
        </w:rPr>
        <w:t>考所列方向，结合实际确定课题名称和研究内容，也可根据教育教学实践需要自行确定题目。</w:t>
      </w:r>
    </w:p>
    <w:p>
      <w:pPr>
        <w:pStyle w:val="3"/>
        <w:spacing w:line="364" w:lineRule="auto"/>
        <w:ind w:left="829" w:right="750" w:firstLine="640"/>
        <w:jc w:val="both"/>
        <w:rPr>
          <w:rFonts w:hint="eastAsia" w:ascii="仿宋" w:eastAsia="仿宋"/>
        </w:rPr>
      </w:pPr>
      <w:r>
        <w:rPr>
          <w:rFonts w:hint="eastAsia" w:ascii="仿宋" w:eastAsia="仿宋"/>
        </w:rPr>
        <w:t>（二</w:t>
      </w:r>
      <w:r>
        <w:rPr>
          <w:rFonts w:hint="eastAsia" w:ascii="仿宋" w:eastAsia="仿宋"/>
          <w:spacing w:val="-58"/>
        </w:rPr>
        <w:t>）</w:t>
      </w:r>
      <w:r>
        <w:rPr>
          <w:rFonts w:hint="eastAsia" w:ascii="仿宋" w:eastAsia="仿宋"/>
          <w:spacing w:val="-4"/>
        </w:rPr>
        <w:t>申报者应关注新时代高等教育改革发展的重点、难点</w:t>
      </w:r>
      <w:r>
        <w:rPr>
          <w:rFonts w:hint="eastAsia" w:ascii="仿宋" w:eastAsia="仿宋"/>
          <w:spacing w:val="-12"/>
        </w:rPr>
        <w:t>和热点问题，兼顾宏观、中观和微观范畴，结合重庆高校办学特</w:t>
      </w:r>
      <w:r>
        <w:rPr>
          <w:rFonts w:hint="eastAsia" w:ascii="仿宋" w:eastAsia="仿宋"/>
        </w:rPr>
        <w:t>色和教育教学改革实际，深化、细化本指南所列方向和内容。</w:t>
      </w:r>
    </w:p>
    <w:p>
      <w:pPr>
        <w:pStyle w:val="3"/>
        <w:spacing w:line="408" w:lineRule="exact"/>
        <w:ind w:left="1470"/>
        <w:rPr>
          <w:rFonts w:hint="eastAsia" w:ascii="仿宋" w:eastAsia="仿宋"/>
        </w:rPr>
      </w:pPr>
      <w:r>
        <w:rPr>
          <w:rFonts w:hint="eastAsia" w:ascii="仿宋" w:eastAsia="仿宋"/>
        </w:rPr>
        <w:t>（三）本课题指南供会员单位高校共同使用。</w:t>
      </w:r>
    </w:p>
    <w:p>
      <w:pPr>
        <w:pStyle w:val="2"/>
        <w:spacing w:before="225" w:line="589" w:lineRule="exact"/>
        <w:ind w:left="1470"/>
      </w:pPr>
      <w:r>
        <w:t>二、选题方向</w:t>
      </w:r>
    </w:p>
    <w:p>
      <w:pPr>
        <w:spacing w:before="0" w:line="552" w:lineRule="exact"/>
        <w:ind w:left="1429" w:right="0" w:firstLine="0"/>
        <w:jc w:val="left"/>
        <w:rPr>
          <w:rFonts w:hint="eastAsia" w:ascii="微软雅黑" w:hAnsi="微软雅黑" w:eastAsia="微软雅黑"/>
          <w:b/>
          <w:i/>
          <w:sz w:val="30"/>
        </w:rPr>
      </w:pPr>
      <w:r>
        <w:rPr>
          <w:rFonts w:hint="eastAsia" w:ascii="微软雅黑" w:hAnsi="微软雅黑" w:eastAsia="微软雅黑"/>
          <w:b/>
          <w:i/>
          <w:sz w:val="30"/>
        </w:rPr>
        <w:t>一、重庆“双一流”建设与高等教育高质量发展研究</w:t>
      </w:r>
    </w:p>
    <w:p>
      <w:pPr>
        <w:spacing w:before="162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重庆高等教育发展与高质量体系建设研究；</w:t>
      </w:r>
    </w:p>
    <w:p>
      <w:pPr>
        <w:spacing w:before="215" w:line="374" w:lineRule="auto"/>
        <w:ind w:left="1429" w:right="2695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成渝地区双城经济圈高等教育一体化发展研究； 新时期重庆市高等教育结构布局研究；</w:t>
      </w:r>
    </w:p>
    <w:p>
      <w:pPr>
        <w:spacing w:before="2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新时代高等教育评价改革研究。</w:t>
      </w:r>
    </w:p>
    <w:p>
      <w:pPr>
        <w:spacing w:before="215" w:line="374" w:lineRule="auto"/>
        <w:ind w:left="1429" w:right="3895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pacing w:val="-2"/>
          <w:sz w:val="30"/>
        </w:rPr>
        <w:t xml:space="preserve">高校毕业生就业与产业需求对接研究； </w:t>
      </w:r>
      <w:r>
        <w:rPr>
          <w:rFonts w:hint="eastAsia" w:ascii="仿宋" w:eastAsia="仿宋"/>
          <w:sz w:val="30"/>
        </w:rPr>
        <w:t>高校产学研协同发展创新研究；</w:t>
      </w:r>
    </w:p>
    <w:p>
      <w:pPr>
        <w:spacing w:before="1"/>
        <w:ind w:left="1429" w:right="0" w:firstLine="0"/>
        <w:jc w:val="left"/>
        <w:rPr>
          <w:rFonts w:hint="eastAsia" w:ascii="仿宋" w:hAnsi="仿宋" w:eastAsia="仿宋"/>
          <w:sz w:val="30"/>
        </w:rPr>
      </w:pPr>
      <w:r>
        <w:rPr>
          <w:rFonts w:ascii="Times New Roman" w:hAnsi="Times New Roman" w:eastAsia="Times New Roman"/>
          <w:sz w:val="30"/>
        </w:rPr>
        <w:t>“</w:t>
      </w:r>
      <w:r>
        <w:rPr>
          <w:rFonts w:hint="eastAsia" w:ascii="仿宋" w:hAnsi="仿宋" w:eastAsia="仿宋"/>
          <w:sz w:val="30"/>
        </w:rPr>
        <w:t>双一流</w:t>
      </w:r>
      <w:r>
        <w:rPr>
          <w:rFonts w:ascii="Times New Roman" w:hAnsi="Times New Roman" w:eastAsia="Times New Roman"/>
          <w:sz w:val="30"/>
        </w:rPr>
        <w:t>”</w:t>
      </w:r>
      <w:r>
        <w:rPr>
          <w:rFonts w:hint="eastAsia" w:ascii="仿宋" w:hAnsi="仿宋" w:eastAsia="仿宋"/>
          <w:sz w:val="30"/>
        </w:rPr>
        <w:t>背景下</w:t>
      </w:r>
      <w:r>
        <w:rPr>
          <w:rFonts w:ascii="Times New Roman" w:hAnsi="Times New Roman" w:eastAsia="Times New Roman"/>
          <w:sz w:val="30"/>
        </w:rPr>
        <w:t>“</w:t>
      </w:r>
      <w:r>
        <w:rPr>
          <w:rFonts w:hint="eastAsia" w:ascii="仿宋" w:hAnsi="仿宋" w:eastAsia="仿宋"/>
          <w:sz w:val="30"/>
        </w:rPr>
        <w:t>四新</w:t>
      </w:r>
      <w:r>
        <w:rPr>
          <w:rFonts w:ascii="Times New Roman" w:hAnsi="Times New Roman" w:eastAsia="Times New Roman"/>
          <w:sz w:val="30"/>
        </w:rPr>
        <w:t>”</w:t>
      </w:r>
      <w:r>
        <w:rPr>
          <w:rFonts w:hint="eastAsia" w:ascii="仿宋" w:hAnsi="仿宋" w:eastAsia="仿宋"/>
          <w:sz w:val="30"/>
        </w:rPr>
        <w:t>建设实证研究；</w:t>
      </w:r>
    </w:p>
    <w:p>
      <w:pPr>
        <w:spacing w:after="0"/>
        <w:jc w:val="left"/>
        <w:rPr>
          <w:rFonts w:hint="eastAsia" w:ascii="仿宋" w:hAnsi="仿宋" w:eastAsia="仿宋"/>
          <w:sz w:val="30"/>
        </w:rPr>
        <w:sectPr>
          <w:pgSz w:w="11910" w:h="16840"/>
          <w:pgMar w:top="1580" w:right="720" w:bottom="1480" w:left="760" w:header="0" w:footer="1295" w:gutter="0"/>
          <w:cols w:space="720" w:num="1"/>
        </w:sectPr>
      </w:pPr>
    </w:p>
    <w:p>
      <w:pPr>
        <w:pStyle w:val="3"/>
        <w:rPr>
          <w:rFonts w:ascii="仿宋"/>
          <w:sz w:val="20"/>
        </w:rPr>
      </w:pPr>
    </w:p>
    <w:p>
      <w:pPr>
        <w:pStyle w:val="3"/>
        <w:spacing w:before="10"/>
        <w:rPr>
          <w:rFonts w:ascii="仿宋"/>
          <w:sz w:val="27"/>
        </w:rPr>
      </w:pPr>
    </w:p>
    <w:p>
      <w:pPr>
        <w:spacing w:before="67" w:line="374" w:lineRule="auto"/>
        <w:ind w:left="1429" w:right="3314" w:firstLine="0"/>
        <w:jc w:val="left"/>
        <w:rPr>
          <w:rFonts w:hint="eastAsia" w:ascii="仿宋" w:hAnsi="仿宋" w:eastAsia="仿宋"/>
          <w:sz w:val="30"/>
        </w:rPr>
      </w:pPr>
      <w:r>
        <w:rPr>
          <w:rFonts w:ascii="Times New Roman" w:hAnsi="Times New Roman" w:eastAsia="Times New Roman"/>
          <w:sz w:val="30"/>
        </w:rPr>
        <w:t>“</w:t>
      </w:r>
      <w:r>
        <w:rPr>
          <w:rFonts w:hint="eastAsia" w:ascii="仿宋" w:hAnsi="仿宋" w:eastAsia="仿宋"/>
          <w:sz w:val="30"/>
        </w:rPr>
        <w:t>双一流</w:t>
      </w:r>
      <w:r>
        <w:rPr>
          <w:rFonts w:ascii="Times New Roman" w:hAnsi="Times New Roman" w:eastAsia="Times New Roman"/>
          <w:sz w:val="30"/>
        </w:rPr>
        <w:t>”</w:t>
      </w:r>
      <w:r>
        <w:rPr>
          <w:rFonts w:hint="eastAsia" w:ascii="仿宋" w:hAnsi="仿宋" w:eastAsia="仿宋"/>
          <w:sz w:val="30"/>
        </w:rPr>
        <w:t xml:space="preserve">建设的策略与院校发展实践研究； </w:t>
      </w:r>
      <w:r>
        <w:rPr>
          <w:rFonts w:ascii="Times New Roman" w:hAnsi="Times New Roman" w:eastAsia="Times New Roman"/>
          <w:sz w:val="30"/>
        </w:rPr>
        <w:t>“</w:t>
      </w:r>
      <w:r>
        <w:rPr>
          <w:rFonts w:hint="eastAsia" w:ascii="仿宋" w:hAnsi="仿宋" w:eastAsia="仿宋"/>
          <w:sz w:val="30"/>
        </w:rPr>
        <w:t>双一流</w:t>
      </w:r>
      <w:r>
        <w:rPr>
          <w:rFonts w:ascii="Times New Roman" w:hAnsi="Times New Roman" w:eastAsia="Times New Roman"/>
          <w:sz w:val="30"/>
        </w:rPr>
        <w:t>”</w:t>
      </w:r>
      <w:r>
        <w:rPr>
          <w:rFonts w:hint="eastAsia" w:ascii="仿宋" w:hAnsi="仿宋" w:eastAsia="仿宋"/>
          <w:sz w:val="30"/>
        </w:rPr>
        <w:t>建设中的人才培养创新研究；</w:t>
      </w:r>
    </w:p>
    <w:p>
      <w:pPr>
        <w:spacing w:before="1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高校创新创业教育研究；</w:t>
      </w:r>
    </w:p>
    <w:p>
      <w:pPr>
        <w:spacing w:before="14"/>
        <w:ind w:left="1429" w:right="0" w:firstLine="0"/>
        <w:jc w:val="left"/>
        <w:rPr>
          <w:rFonts w:hint="eastAsia" w:ascii="微软雅黑" w:hAnsi="微软雅黑" w:eastAsia="微软雅黑"/>
          <w:b/>
          <w:i/>
          <w:sz w:val="30"/>
        </w:rPr>
      </w:pPr>
      <w:r>
        <w:rPr>
          <w:rFonts w:hint="eastAsia" w:ascii="微软雅黑" w:hAnsi="微软雅黑" w:eastAsia="微软雅黑"/>
          <w:b/>
          <w:i/>
          <w:sz w:val="30"/>
        </w:rPr>
        <w:t>二、重庆“双高”建设与高职教育高质量发展研究</w:t>
      </w:r>
    </w:p>
    <w:p>
      <w:pPr>
        <w:spacing w:before="165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重庆高等职业教育体系建设研究；</w:t>
      </w:r>
    </w:p>
    <w:p>
      <w:pPr>
        <w:spacing w:before="216" w:line="374" w:lineRule="auto"/>
        <w:ind w:left="1429" w:right="5428" w:firstLine="0"/>
        <w:jc w:val="left"/>
        <w:rPr>
          <w:rFonts w:hint="eastAsia" w:ascii="仿宋" w:hAnsi="仿宋" w:eastAsia="仿宋"/>
          <w:sz w:val="30"/>
        </w:rPr>
      </w:pPr>
      <w:r>
        <w:rPr>
          <w:rFonts w:ascii="Times New Roman" w:hAnsi="Times New Roman" w:eastAsia="Times New Roman"/>
          <w:sz w:val="30"/>
        </w:rPr>
        <w:t>“</w:t>
      </w:r>
      <w:r>
        <w:rPr>
          <w:rFonts w:hint="eastAsia" w:ascii="仿宋" w:hAnsi="仿宋" w:eastAsia="仿宋"/>
          <w:sz w:val="30"/>
        </w:rPr>
        <w:t>双高</w:t>
      </w:r>
      <w:r>
        <w:rPr>
          <w:rFonts w:ascii="Times New Roman" w:hAnsi="Times New Roman" w:eastAsia="Times New Roman"/>
          <w:sz w:val="30"/>
        </w:rPr>
        <w:t>”</w:t>
      </w:r>
      <w:r>
        <w:rPr>
          <w:rFonts w:hint="eastAsia" w:ascii="仿宋" w:hAnsi="仿宋" w:eastAsia="仿宋"/>
          <w:sz w:val="30"/>
        </w:rPr>
        <w:t>与专业群建设研究； 职普融通路径研究；</w:t>
      </w:r>
    </w:p>
    <w:p>
      <w:pPr>
        <w:spacing w:before="0" w:line="374" w:lineRule="auto"/>
        <w:ind w:left="1429" w:right="2094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成渝双城经济圈建设与高等职业院校协同发展研究； 高职产教融合与技术技能人才培养机制研究；</w:t>
      </w:r>
    </w:p>
    <w:p>
      <w:pPr>
        <w:spacing w:before="1"/>
        <w:ind w:left="1429" w:right="0" w:firstLine="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“提质培优”项目建设案例研究；</w:t>
      </w:r>
    </w:p>
    <w:p>
      <w:pPr>
        <w:spacing w:before="216"/>
        <w:ind w:left="1429" w:right="0" w:firstLine="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高职院校“三教”改革实践模式案例研究；</w:t>
      </w:r>
    </w:p>
    <w:p>
      <w:pPr>
        <w:spacing w:before="216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工匠精神与高职院校学生核心能力培养的实践研究；</w:t>
      </w:r>
    </w:p>
    <w:p>
      <w:pPr>
        <w:spacing w:before="0" w:line="600" w:lineRule="atLeast"/>
        <w:ind w:left="1429" w:right="455" w:firstLine="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高职院校“现代学徒制”的实践研究与高职人才培养质量标准； 高职专业设置、专业课程内容与职业标准相衔接的实证研究。</w:t>
      </w:r>
    </w:p>
    <w:p>
      <w:pPr>
        <w:spacing w:before="14" w:line="533" w:lineRule="exact"/>
        <w:ind w:left="1429" w:right="0" w:firstLine="0"/>
        <w:jc w:val="left"/>
        <w:rPr>
          <w:rFonts w:hint="eastAsia" w:ascii="微软雅黑" w:eastAsia="微软雅黑"/>
          <w:b/>
          <w:i/>
          <w:sz w:val="30"/>
        </w:rPr>
      </w:pPr>
      <w:r>
        <w:rPr>
          <w:rFonts w:hint="eastAsia" w:ascii="微软雅黑" w:eastAsia="微软雅黑"/>
          <w:b/>
          <w:i/>
          <w:sz w:val="30"/>
        </w:rPr>
        <w:t>三、专项课题</w:t>
      </w:r>
    </w:p>
    <w:p>
      <w:pPr>
        <w:pStyle w:val="6"/>
        <w:numPr>
          <w:ilvl w:val="0"/>
          <w:numId w:val="1"/>
        </w:numPr>
        <w:tabs>
          <w:tab w:val="left" w:pos="1701"/>
        </w:tabs>
        <w:spacing w:before="0" w:after="0" w:line="533" w:lineRule="exact"/>
        <w:ind w:left="1700" w:right="0" w:hanging="272"/>
        <w:jc w:val="left"/>
        <w:rPr>
          <w:rFonts w:hint="eastAsia" w:ascii="微软雅黑" w:eastAsia="微软雅黑"/>
          <w:b/>
          <w:i/>
          <w:sz w:val="30"/>
        </w:rPr>
      </w:pPr>
      <w:r>
        <w:rPr>
          <w:rFonts w:hint="eastAsia" w:ascii="微软雅黑" w:eastAsia="微软雅黑"/>
          <w:b/>
          <w:i/>
          <w:sz w:val="30"/>
        </w:rPr>
        <w:t>新时代高校立德树人与思政教育研究</w:t>
      </w:r>
    </w:p>
    <w:p>
      <w:pPr>
        <w:spacing w:before="162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新时代高校立德树人机制创新研究；</w:t>
      </w:r>
    </w:p>
    <w:p>
      <w:pPr>
        <w:spacing w:before="216" w:line="374" w:lineRule="auto"/>
        <w:ind w:left="1429" w:right="2994" w:firstLine="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pacing w:val="-1"/>
          <w:sz w:val="30"/>
        </w:rPr>
        <w:t xml:space="preserve">高校“三全育人”综合改革研究与实践探索； </w:t>
      </w:r>
      <w:r>
        <w:rPr>
          <w:rFonts w:hint="eastAsia" w:ascii="仿宋" w:hAnsi="仿宋" w:eastAsia="仿宋"/>
          <w:sz w:val="30"/>
        </w:rPr>
        <w:t>高校思政教育与相关课程建设研究；</w:t>
      </w:r>
    </w:p>
    <w:p>
      <w:pPr>
        <w:spacing w:before="1" w:line="374" w:lineRule="auto"/>
        <w:ind w:left="1429" w:right="4194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 xml:space="preserve">高校思政课程教学模式创新研究； </w:t>
      </w:r>
      <w:r>
        <w:rPr>
          <w:rFonts w:hint="eastAsia" w:ascii="仿宋" w:eastAsia="仿宋"/>
          <w:spacing w:val="-2"/>
          <w:sz w:val="30"/>
        </w:rPr>
        <w:t>高校课程思政建设目标和内容研究；</w:t>
      </w:r>
    </w:p>
    <w:p>
      <w:pPr>
        <w:spacing w:after="0" w:line="374" w:lineRule="auto"/>
        <w:jc w:val="left"/>
        <w:rPr>
          <w:rFonts w:hint="eastAsia" w:ascii="仿宋" w:eastAsia="仿宋"/>
          <w:sz w:val="30"/>
        </w:rPr>
        <w:sectPr>
          <w:pgSz w:w="11910" w:h="16840"/>
          <w:pgMar w:top="1580" w:right="720" w:bottom="1480" w:left="760" w:header="0" w:footer="1295" w:gutter="0"/>
          <w:cols w:space="720" w:num="1"/>
        </w:sectPr>
      </w:pPr>
    </w:p>
    <w:p>
      <w:pPr>
        <w:pStyle w:val="3"/>
        <w:rPr>
          <w:rFonts w:ascii="仿宋"/>
          <w:sz w:val="20"/>
        </w:rPr>
      </w:pPr>
    </w:p>
    <w:p>
      <w:pPr>
        <w:pStyle w:val="3"/>
        <w:spacing w:before="6"/>
        <w:rPr>
          <w:rFonts w:ascii="仿宋"/>
          <w:sz w:val="28"/>
        </w:rPr>
      </w:pPr>
    </w:p>
    <w:p>
      <w:pPr>
        <w:spacing w:before="58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高校课程思政教学体系设计研究；</w:t>
      </w:r>
    </w:p>
    <w:p>
      <w:pPr>
        <w:spacing w:before="216" w:line="374" w:lineRule="auto"/>
        <w:ind w:left="1429" w:right="2394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高校课程思政建设质量评价体系和激励机制研究； 高校实施专业特点分类推进课程思政建设研究</w:t>
      </w:r>
    </w:p>
    <w:p>
      <w:pPr>
        <w:spacing w:before="1" w:line="374" w:lineRule="auto"/>
        <w:ind w:left="1429" w:right="3294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高校课程思政建设组织实施和条件保障研究高校美育、体育与人才培养研究；</w:t>
      </w:r>
    </w:p>
    <w:p>
      <w:pPr>
        <w:spacing w:before="1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高校劳动教育与人才培养研究；</w:t>
      </w:r>
    </w:p>
    <w:p>
      <w:pPr>
        <w:spacing w:before="216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辅导员队伍建设研究；</w:t>
      </w:r>
    </w:p>
    <w:p>
      <w:pPr>
        <w:pStyle w:val="6"/>
        <w:numPr>
          <w:ilvl w:val="0"/>
          <w:numId w:val="1"/>
        </w:numPr>
        <w:tabs>
          <w:tab w:val="left" w:pos="1701"/>
        </w:tabs>
        <w:spacing w:before="14" w:after="0" w:line="240" w:lineRule="auto"/>
        <w:ind w:left="1700" w:right="0" w:hanging="272"/>
        <w:jc w:val="left"/>
        <w:rPr>
          <w:rFonts w:hint="eastAsia" w:ascii="微软雅黑" w:eastAsia="微软雅黑"/>
          <w:b/>
          <w:i/>
          <w:sz w:val="30"/>
        </w:rPr>
      </w:pPr>
      <w:r>
        <w:rPr>
          <w:rFonts w:hint="eastAsia" w:ascii="微软雅黑" w:eastAsia="微软雅黑"/>
          <w:b/>
          <w:i/>
          <w:sz w:val="30"/>
        </w:rPr>
        <w:t>信息技术与高校教育教学改革研究</w:t>
      </w:r>
    </w:p>
    <w:p>
      <w:pPr>
        <w:spacing w:before="164" w:line="374" w:lineRule="auto"/>
        <w:ind w:left="1429" w:right="2994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pacing w:val="-1"/>
          <w:sz w:val="30"/>
        </w:rPr>
        <w:t xml:space="preserve">教育信息技术与高等教育教学深度融合研究； </w:t>
      </w:r>
      <w:r>
        <w:rPr>
          <w:rFonts w:hint="eastAsia" w:ascii="仿宋" w:eastAsia="仿宋"/>
          <w:sz w:val="30"/>
        </w:rPr>
        <w:t>高校数字化教学质量监控机制研究；</w:t>
      </w:r>
    </w:p>
    <w:p>
      <w:pPr>
        <w:spacing w:before="1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大数据与智慧校园与课堂建设研究；</w:t>
      </w:r>
    </w:p>
    <w:p>
      <w:pPr>
        <w:spacing w:before="216" w:line="374" w:lineRule="auto"/>
        <w:ind w:left="1429" w:right="3594" w:firstLine="0"/>
        <w:jc w:val="left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“互联网</w:t>
      </w:r>
      <w:r>
        <w:rPr>
          <w:rFonts w:ascii="Times New Roman" w:hAnsi="Times New Roman" w:eastAsia="Times New Roman"/>
          <w:sz w:val="30"/>
        </w:rPr>
        <w:t>+</w:t>
      </w:r>
      <w:r>
        <w:rPr>
          <w:rFonts w:hint="eastAsia" w:ascii="仿宋" w:hAnsi="仿宋" w:eastAsia="仿宋"/>
          <w:sz w:val="30"/>
        </w:rPr>
        <w:t>”与课程课堂教学改革研究； 人工智能与虚拟仿真实践教学改革研究；</w:t>
      </w:r>
    </w:p>
    <w:p>
      <w:pPr>
        <w:spacing w:before="1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高校教师专业发展与现代信息技术能力提升研究；</w:t>
      </w:r>
    </w:p>
    <w:p>
      <w:pPr>
        <w:pStyle w:val="6"/>
        <w:numPr>
          <w:ilvl w:val="0"/>
          <w:numId w:val="1"/>
        </w:numPr>
        <w:tabs>
          <w:tab w:val="left" w:pos="1701"/>
        </w:tabs>
        <w:spacing w:before="14" w:after="0" w:line="240" w:lineRule="auto"/>
        <w:ind w:left="1700" w:right="0" w:hanging="272"/>
        <w:jc w:val="left"/>
        <w:rPr>
          <w:rFonts w:hint="eastAsia" w:ascii="微软雅黑" w:eastAsia="微软雅黑"/>
          <w:b/>
          <w:i/>
          <w:sz w:val="30"/>
        </w:rPr>
      </w:pPr>
      <w:r>
        <w:rPr>
          <w:rFonts w:hint="eastAsia" w:ascii="微软雅黑" w:eastAsia="微软雅黑"/>
          <w:b/>
          <w:i/>
          <w:sz w:val="30"/>
        </w:rPr>
        <w:t>大学外语教学改革研究</w:t>
      </w:r>
    </w:p>
    <w:p>
      <w:pPr>
        <w:spacing w:before="162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大学英语课堂教学改革研究；</w:t>
      </w:r>
    </w:p>
    <w:p>
      <w:pPr>
        <w:spacing w:before="216" w:line="374" w:lineRule="auto"/>
        <w:ind w:left="1429" w:right="3895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 xml:space="preserve">大学英语数字化课程资源建设研究； </w:t>
      </w:r>
      <w:r>
        <w:rPr>
          <w:rFonts w:hint="eastAsia" w:ascii="仿宋" w:eastAsia="仿宋"/>
          <w:spacing w:val="-2"/>
          <w:sz w:val="30"/>
        </w:rPr>
        <w:t>优秀外语在线课程教学模式案例研究；</w:t>
      </w:r>
    </w:p>
    <w:p>
      <w:pPr>
        <w:spacing w:before="1" w:line="374" w:lineRule="auto"/>
        <w:ind w:left="1429" w:right="3295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pacing w:val="-1"/>
          <w:sz w:val="30"/>
        </w:rPr>
        <w:t xml:space="preserve">通用英语类在线课程建设与教学应用研究； </w:t>
      </w:r>
      <w:r>
        <w:rPr>
          <w:rFonts w:hint="eastAsia" w:ascii="仿宋" w:eastAsia="仿宋"/>
          <w:sz w:val="30"/>
        </w:rPr>
        <w:t>专业英语类数字化课程建设应用研究；</w:t>
      </w:r>
    </w:p>
    <w:p>
      <w:pPr>
        <w:spacing w:before="1"/>
        <w:ind w:left="1429" w:right="0" w:firstLine="0"/>
        <w:jc w:val="left"/>
        <w:rPr>
          <w:rFonts w:hint="eastAsia" w:ascii="仿宋" w:eastAsia="仿宋"/>
          <w:sz w:val="30"/>
        </w:rPr>
      </w:pPr>
      <w:r>
        <w:rPr>
          <w:rFonts w:hint="eastAsia" w:ascii="仿宋" w:eastAsia="仿宋"/>
          <w:sz w:val="30"/>
        </w:rPr>
        <w:t>数字化大学外语课堂教学质量评价与质量监控机制研究。</w:t>
      </w:r>
    </w:p>
    <w:p>
      <w:pPr>
        <w:spacing w:after="0"/>
        <w:jc w:val="left"/>
        <w:rPr>
          <w:rFonts w:hint="eastAsia" w:ascii="仿宋" w:eastAsia="仿宋"/>
          <w:sz w:val="30"/>
        </w:rPr>
        <w:sectPr>
          <w:pgSz w:w="11910" w:h="16840"/>
          <w:pgMar w:top="1580" w:right="720" w:bottom="1480" w:left="760" w:header="0" w:footer="1295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700" w:hanging="272"/>
        <w:jc w:val="left"/>
      </w:pPr>
      <w:rPr>
        <w:rFonts w:hint="default" w:ascii="微软雅黑" w:hAnsi="微软雅黑" w:eastAsia="微软雅黑" w:cs="微软雅黑"/>
        <w:b/>
        <w:bCs/>
        <w:spacing w:val="-1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572" w:hanging="27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445" w:hanging="27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317" w:hanging="27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90" w:hanging="27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63" w:hanging="27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935" w:hanging="27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08" w:hanging="27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81" w:hanging="272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F70C0"/>
    <w:rsid w:val="30FF70C0"/>
    <w:rsid w:val="52E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474"/>
      <w:outlineLvl w:val="2"/>
    </w:pPr>
    <w:rPr>
      <w:rFonts w:ascii="微软雅黑" w:hAnsi="微软雅黑" w:eastAsia="微软雅黑" w:cs="微软雅黑"/>
      <w:b/>
      <w:bCs/>
      <w:i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1"/>
    <w:pPr>
      <w:ind w:left="829" w:firstLine="6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2021-09-28T10:23:00Z</dcterms:created>
  <dc:creator>Demmy_</dc:creator>
  <cp:lastModifiedBy>Demmy_</cp:lastModifiedBy>
  <dcterms:modified xsi:type="dcterms:W3CDTF">2021-09-28T10:23:44Z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E35BADDF69494848846984EDE18D0CD0</vt:lpwstr>
  </property>
</Properties>
</file>