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104C8" w14:textId="291D4A30" w:rsidR="00B96F90" w:rsidRPr="009A5BBA" w:rsidRDefault="00B7425C" w:rsidP="00B7425C">
      <w:pPr>
        <w:widowControl/>
        <w:shd w:val="clear" w:color="auto" w:fill="FFFFFF"/>
        <w:spacing w:after="165" w:line="273" w:lineRule="atLeast"/>
        <w:ind w:right="84"/>
        <w:rPr>
          <w:rFonts w:ascii="FangSong" w:eastAsia="FangSong" w:hAnsi="FangSong" w:cs="宋体"/>
          <w:color w:val="333333"/>
          <w:spacing w:val="8"/>
          <w:kern w:val="0"/>
          <w:sz w:val="30"/>
          <w:szCs w:val="30"/>
        </w:rPr>
      </w:pPr>
      <w:r>
        <w:rPr>
          <w:rFonts w:ascii="FangSong" w:eastAsia="FangSong" w:hAnsi="FangSong" w:cs="宋体" w:hint="eastAsia"/>
          <w:color w:val="333333"/>
          <w:spacing w:val="8"/>
          <w:kern w:val="0"/>
          <w:sz w:val="30"/>
          <w:szCs w:val="30"/>
        </w:rPr>
        <w:t>附件</w:t>
      </w:r>
      <w:r w:rsidR="008D2419">
        <w:rPr>
          <w:rFonts w:ascii="FangSong" w:eastAsia="FangSong" w:hAnsi="FangSong" w:cs="宋体"/>
          <w:color w:val="333333"/>
          <w:spacing w:val="8"/>
          <w:kern w:val="0"/>
          <w:sz w:val="30"/>
          <w:szCs w:val="30"/>
        </w:rPr>
        <w:t>1</w:t>
      </w:r>
      <w:r>
        <w:rPr>
          <w:rFonts w:ascii="FangSong" w:eastAsia="FangSong" w:hAnsi="FangSong" w:cs="宋体" w:hint="eastAsia"/>
          <w:color w:val="333333"/>
          <w:spacing w:val="8"/>
          <w:kern w:val="0"/>
          <w:sz w:val="30"/>
          <w:szCs w:val="30"/>
        </w:rPr>
        <w:t>：</w:t>
      </w:r>
    </w:p>
    <w:p w14:paraId="03A141B4" w14:textId="77777777" w:rsidR="00B96F90" w:rsidRPr="009A5BBA" w:rsidRDefault="00B96F90" w:rsidP="001B479B">
      <w:pPr>
        <w:widowControl/>
        <w:shd w:val="clear" w:color="auto" w:fill="FFFFFF"/>
        <w:spacing w:line="264" w:lineRule="atLeast"/>
        <w:ind w:right="30"/>
        <w:jc w:val="center"/>
        <w:outlineLvl w:val="0"/>
        <w:rPr>
          <w:rFonts w:ascii="FangSong" w:eastAsia="FangSong" w:hAnsi="FangSong" w:cs="宋体"/>
          <w:color w:val="333333"/>
          <w:spacing w:val="8"/>
          <w:kern w:val="36"/>
          <w:sz w:val="36"/>
          <w:szCs w:val="36"/>
        </w:rPr>
      </w:pPr>
      <w:r w:rsidRPr="009A5BBA">
        <w:rPr>
          <w:rFonts w:ascii="FangSong" w:eastAsia="FangSong" w:hAnsi="FangSong" w:cs="宋体" w:hint="eastAsia"/>
          <w:b/>
          <w:bCs/>
          <w:color w:val="333333"/>
          <w:spacing w:val="8"/>
          <w:kern w:val="36"/>
          <w:sz w:val="36"/>
          <w:szCs w:val="36"/>
        </w:rPr>
        <w:t>“双万计划”国家级一流本科课程推荐认定办法</w:t>
      </w:r>
    </w:p>
    <w:p w14:paraId="5C625016" w14:textId="34D831CA" w:rsidR="00B96F90" w:rsidRPr="009A5BBA" w:rsidRDefault="00B96F90" w:rsidP="001B479B">
      <w:pPr>
        <w:widowControl/>
        <w:shd w:val="clear" w:color="auto" w:fill="FFFFFF"/>
        <w:spacing w:line="273" w:lineRule="atLeast"/>
        <w:ind w:firstLineChars="205" w:firstLine="648"/>
        <w:rPr>
          <w:rFonts w:ascii="FangSong" w:eastAsia="FangSong" w:hAnsi="FangSong" w:cs="宋体"/>
          <w:color w:val="333333"/>
          <w:spacing w:val="8"/>
          <w:kern w:val="0"/>
          <w:sz w:val="30"/>
          <w:szCs w:val="30"/>
        </w:rPr>
      </w:pPr>
    </w:p>
    <w:p w14:paraId="42A73096"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一、推荐范围</w:t>
      </w:r>
    </w:p>
    <w:p w14:paraId="22FFC71B" w14:textId="64FAEA32" w:rsidR="00B96F90" w:rsidRPr="009A5BBA" w:rsidRDefault="00B96F90" w:rsidP="001B479B">
      <w:pPr>
        <w:widowControl/>
        <w:shd w:val="clear" w:color="auto" w:fill="FFFFFF"/>
        <w:spacing w:after="5"/>
        <w:ind w:right="315"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普通本科高校纳入人才培养方案且设置学分的本科课程均可推荐，包括思想政治理论课、公共基础课、专业基础课、专业课以及</w:t>
      </w:r>
      <w:proofErr w:type="gramStart"/>
      <w:r w:rsidRPr="009A5BBA">
        <w:rPr>
          <w:rFonts w:ascii="FangSong" w:eastAsia="FangSong" w:hAnsi="FangSong" w:cs="宋体" w:hint="eastAsia"/>
          <w:color w:val="333333"/>
          <w:spacing w:val="8"/>
          <w:kern w:val="0"/>
          <w:sz w:val="30"/>
          <w:szCs w:val="30"/>
        </w:rPr>
        <w:t>通识课等</w:t>
      </w:r>
      <w:proofErr w:type="gramEnd"/>
      <w:r w:rsidRPr="009A5BBA">
        <w:rPr>
          <w:rFonts w:ascii="FangSong" w:eastAsia="FangSong" w:hAnsi="FangSong" w:cs="宋体" w:hint="eastAsia"/>
          <w:color w:val="333333"/>
          <w:spacing w:val="8"/>
          <w:kern w:val="0"/>
          <w:sz w:val="30"/>
          <w:szCs w:val="30"/>
        </w:rPr>
        <w:t>独立设置的本科理论课程、实验课程和社会实践课程等。</w:t>
      </w:r>
    </w:p>
    <w:p w14:paraId="49861DC4" w14:textId="6443E828" w:rsidR="00B96F90" w:rsidRPr="009A5BBA" w:rsidRDefault="00B96F90" w:rsidP="001B479B">
      <w:pPr>
        <w:widowControl/>
        <w:shd w:val="clear" w:color="auto" w:fill="FFFFFF"/>
        <w:ind w:right="315"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二、推荐类型与计划</w:t>
      </w:r>
    </w:p>
    <w:p w14:paraId="3930C291" w14:textId="39C3FC2D" w:rsidR="00B96F90" w:rsidRPr="009A5BBA" w:rsidRDefault="00B96F90" w:rsidP="001B479B">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（一）线上一流课程。</w:t>
      </w:r>
      <w:r w:rsidRPr="009A5BBA">
        <w:rPr>
          <w:rFonts w:ascii="FangSong" w:eastAsia="FangSong" w:hAnsi="FangSong" w:cs="宋体" w:hint="eastAsia"/>
          <w:color w:val="333333"/>
          <w:spacing w:val="8"/>
          <w:kern w:val="0"/>
          <w:sz w:val="30"/>
          <w:szCs w:val="30"/>
        </w:rPr>
        <w:t>即国家精品在线开放课程，突出优质、开放、共享，打造</w:t>
      </w:r>
      <w:proofErr w:type="gramStart"/>
      <w:r w:rsidRPr="009A5BBA">
        <w:rPr>
          <w:rFonts w:ascii="FangSong" w:eastAsia="FangSong" w:hAnsi="FangSong" w:cs="宋体" w:hint="eastAsia"/>
          <w:color w:val="333333"/>
          <w:spacing w:val="8"/>
          <w:kern w:val="0"/>
          <w:sz w:val="30"/>
          <w:szCs w:val="30"/>
        </w:rPr>
        <w:t>中国慕课品牌</w:t>
      </w:r>
      <w:proofErr w:type="gramEnd"/>
      <w:r w:rsidRPr="009A5BBA">
        <w:rPr>
          <w:rFonts w:ascii="FangSong" w:eastAsia="FangSong" w:hAnsi="FangSong" w:cs="宋体" w:hint="eastAsia"/>
          <w:color w:val="333333"/>
          <w:spacing w:val="8"/>
          <w:kern w:val="0"/>
          <w:sz w:val="30"/>
          <w:szCs w:val="30"/>
        </w:rPr>
        <w:t>。完成4000门左右国家精品在线开放课程认定，构建内容更加丰富、结构更加合理、类别更加全面的国家级</w:t>
      </w:r>
      <w:proofErr w:type="gramStart"/>
      <w:r w:rsidRPr="009A5BBA">
        <w:rPr>
          <w:rFonts w:ascii="FangSong" w:eastAsia="FangSong" w:hAnsi="FangSong" w:cs="宋体" w:hint="eastAsia"/>
          <w:color w:val="333333"/>
          <w:spacing w:val="8"/>
          <w:kern w:val="0"/>
          <w:sz w:val="30"/>
          <w:szCs w:val="30"/>
        </w:rPr>
        <w:t>精品慕课体系</w:t>
      </w:r>
      <w:proofErr w:type="gramEnd"/>
      <w:r w:rsidRPr="009A5BBA">
        <w:rPr>
          <w:rFonts w:ascii="FangSong" w:eastAsia="FangSong" w:hAnsi="FangSong" w:cs="宋体" w:hint="eastAsia"/>
          <w:color w:val="333333"/>
          <w:spacing w:val="8"/>
          <w:kern w:val="0"/>
          <w:sz w:val="30"/>
          <w:szCs w:val="30"/>
        </w:rPr>
        <w:t>。</w:t>
      </w:r>
    </w:p>
    <w:p w14:paraId="1EA510C4" w14:textId="500273F3" w:rsidR="00B96F90" w:rsidRPr="009A5BBA" w:rsidRDefault="00B96F90" w:rsidP="001B479B">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（二）线下一流课程。</w:t>
      </w:r>
      <w:r w:rsidRPr="009A5BBA">
        <w:rPr>
          <w:rFonts w:ascii="FangSong" w:eastAsia="FangSong" w:hAnsi="FangSong" w:cs="宋体" w:hint="eastAsia"/>
          <w:color w:val="333333"/>
          <w:spacing w:val="8"/>
          <w:kern w:val="0"/>
          <w:sz w:val="30"/>
          <w:szCs w:val="30"/>
        </w:rPr>
        <w:t>主要指以面授为主的课程，以提升学生综合能力为重点，重塑课程内容，创新教学方法，打破课堂沉默状态，焕发课堂生机活力，较好发挥课堂教学主阵地、主渠道、主战场作用。认定4000门左右国家级线下一流课程。</w:t>
      </w:r>
    </w:p>
    <w:p w14:paraId="3D80EBBF" w14:textId="08DB59D0" w:rsidR="00B96F90" w:rsidRPr="009A5BBA" w:rsidRDefault="00B96F90" w:rsidP="001B479B">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（三）线上线下混合式一流课程。</w:t>
      </w:r>
      <w:r w:rsidRPr="009A5BBA">
        <w:rPr>
          <w:rFonts w:ascii="FangSong" w:eastAsia="FangSong" w:hAnsi="FangSong" w:cs="宋体" w:hint="eastAsia"/>
          <w:color w:val="333333"/>
          <w:spacing w:val="8"/>
          <w:kern w:val="0"/>
          <w:sz w:val="30"/>
          <w:szCs w:val="30"/>
        </w:rPr>
        <w:t>主要指基于慕课、专属在线课程（SPOC）或其他在线课程，运用适当的数字化教学工具，结合本校实际对校内课程进行改造，安排20%—50%的教学时间实施学生线上自主学习，与线下面授有机结合开展</w:t>
      </w:r>
      <w:r w:rsidRPr="009A5BBA">
        <w:rPr>
          <w:rFonts w:ascii="FangSong" w:eastAsia="FangSong" w:hAnsi="FangSong" w:cs="宋体" w:hint="eastAsia"/>
          <w:color w:val="333333"/>
          <w:spacing w:val="8"/>
          <w:kern w:val="0"/>
          <w:sz w:val="30"/>
          <w:szCs w:val="30"/>
        </w:rPr>
        <w:lastRenderedPageBreak/>
        <w:t>翻转课堂、混合式教学，打造在线课程与本校课堂教学相融合的混合式“金课”。大力倡导基于国家精品在线开放课程应用的线上线下混合式优质课程申报。认定6000门左右国家级线上线下混合式一流课程。</w:t>
      </w:r>
    </w:p>
    <w:p w14:paraId="6C7B0A42" w14:textId="3D061164" w:rsidR="00B96F90" w:rsidRPr="009A5BBA" w:rsidRDefault="00B96F90" w:rsidP="00A84974">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（四）虚拟仿真实验教学一流课程。</w:t>
      </w:r>
      <w:r w:rsidRPr="009A5BBA">
        <w:rPr>
          <w:rFonts w:ascii="FangSong" w:eastAsia="FangSong" w:hAnsi="FangSong" w:cs="宋体" w:hint="eastAsia"/>
          <w:color w:val="333333"/>
          <w:spacing w:val="8"/>
          <w:kern w:val="0"/>
          <w:sz w:val="30"/>
          <w:szCs w:val="30"/>
        </w:rPr>
        <w:t>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14:paraId="50872C7A" w14:textId="2CD6105B" w:rsidR="00B96F90" w:rsidRPr="009A5BBA" w:rsidRDefault="00B96F90" w:rsidP="00A84974">
      <w:pPr>
        <w:widowControl/>
        <w:shd w:val="clear" w:color="auto" w:fill="FFFFFF"/>
        <w:ind w:firstLineChars="205" w:firstLine="650"/>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（五）社会实践一流课程。</w:t>
      </w:r>
      <w:r w:rsidRPr="009A5BBA">
        <w:rPr>
          <w:rFonts w:ascii="FangSong" w:eastAsia="FangSong" w:hAnsi="FangSong" w:cs="宋体" w:hint="eastAsia"/>
          <w:color w:val="333333"/>
          <w:spacing w:val="8"/>
          <w:kern w:val="0"/>
          <w:sz w:val="30"/>
          <w:szCs w:val="30"/>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14:paraId="6CC217A3"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三、推荐条件</w:t>
      </w:r>
    </w:p>
    <w:p w14:paraId="6D11C7D1" w14:textId="77777777" w:rsidR="00B96F90" w:rsidRPr="009A5BBA" w:rsidRDefault="00B96F90" w:rsidP="001B479B">
      <w:pPr>
        <w:widowControl/>
        <w:shd w:val="clear" w:color="auto" w:fill="FFFFFF"/>
        <w:spacing w:after="150"/>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推荐课程须至少经过两个学期或两个教学周期的建设和完善，取得实质性改革成效，在同类课程中具有鲜明特色、良</w:t>
      </w:r>
      <w:r w:rsidRPr="009A5BBA">
        <w:rPr>
          <w:rFonts w:ascii="FangSong" w:eastAsia="FangSong" w:hAnsi="FangSong" w:cs="宋体" w:hint="eastAsia"/>
          <w:color w:val="333333"/>
          <w:spacing w:val="8"/>
          <w:kern w:val="0"/>
          <w:sz w:val="30"/>
          <w:szCs w:val="30"/>
        </w:rPr>
        <w:lastRenderedPageBreak/>
        <w:t>好的教学效果，并承诺入选后将持续改进。符合相关类型课程基本形态和特殊要求的同时，在以下多个方面具备实质性创新，有较大的借鉴和推广价值。</w:t>
      </w:r>
    </w:p>
    <w:p w14:paraId="5E2B83A7" w14:textId="4C56BA69"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（一）教学理念先进。坚持立德树人，体现以学生发展为中心，致力于开启学生内在潜力和学习动力，注重学生德智体美劳全面发展。</w:t>
      </w:r>
    </w:p>
    <w:p w14:paraId="466678B5" w14:textId="479EB114"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14:paraId="643185D4" w14:textId="40BD95B4"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（三）课程目标有效支撑培养目标达成。课程目标符合学校办学定位和人才培养目标，注重知识、能力、素质培养。</w:t>
      </w:r>
    </w:p>
    <w:p w14:paraId="5AE7FA32" w14:textId="5AA5D6FD"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（四）课程教学设计科学合理。围绕目标达成、教学内容、组织实施和多元评价需求进行整体规划，教学策略、教学方法、教学过程、教学评价等设计合理。</w:t>
      </w:r>
    </w:p>
    <w:p w14:paraId="10762463" w14:textId="26CA12A7"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14:paraId="1F5EA3BD" w14:textId="26D1F324"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（六）教学组织与实施突出学生中心地位。根据学生认知规律和接受特点，创新教与学模式，因材施教，促进师生之</w:t>
      </w:r>
      <w:r w:rsidRPr="009A5BBA">
        <w:rPr>
          <w:rFonts w:ascii="FangSong" w:eastAsia="FangSong" w:hAnsi="FangSong" w:cs="宋体" w:hint="eastAsia"/>
          <w:color w:val="333333"/>
          <w:spacing w:val="8"/>
          <w:kern w:val="0"/>
          <w:sz w:val="30"/>
          <w:szCs w:val="30"/>
        </w:rPr>
        <w:lastRenderedPageBreak/>
        <w:t>间、学生之间的交流互动、资源共享、知识生成，教学反馈及时，教学效果显著。</w:t>
      </w:r>
    </w:p>
    <w:p w14:paraId="0CBC3EDD" w14:textId="66994EA9" w:rsidR="00B96F90" w:rsidRPr="009A5BBA" w:rsidRDefault="00B96F90" w:rsidP="001B479B">
      <w:pPr>
        <w:widowControl/>
        <w:shd w:val="clear" w:color="auto" w:fill="FFFFFF"/>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（七）课程管理与评价科学且可测量。教师备课要求明确，学生学习管理严格。针对教学目标、教学内容、教学组织等采用多元化考核评价，过程可回溯，诊断改进积极有效。</w:t>
      </w:r>
    </w:p>
    <w:p w14:paraId="2CC4566A" w14:textId="77777777" w:rsidR="00B96F90" w:rsidRPr="009A5BBA" w:rsidRDefault="00B96F90" w:rsidP="001B479B">
      <w:pPr>
        <w:widowControl/>
        <w:shd w:val="clear" w:color="auto" w:fill="FFFFFF"/>
        <w:spacing w:after="165" w:line="273" w:lineRule="atLeast"/>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教学过程材料完整，可借鉴可监督。</w:t>
      </w:r>
    </w:p>
    <w:p w14:paraId="0333E7D8"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四、推荐方式</w:t>
      </w:r>
    </w:p>
    <w:p w14:paraId="7951F9F2" w14:textId="77777777"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proofErr w:type="gramStart"/>
      <w:r w:rsidRPr="009A5BBA">
        <w:rPr>
          <w:rFonts w:ascii="FangSong" w:eastAsia="FangSong" w:hAnsi="FangSong" w:cs="宋体" w:hint="eastAsia"/>
          <w:color w:val="333333"/>
          <w:spacing w:val="8"/>
          <w:kern w:val="0"/>
          <w:sz w:val="30"/>
          <w:szCs w:val="30"/>
        </w:rPr>
        <w:t>除线上</w:t>
      </w:r>
      <w:proofErr w:type="gramEnd"/>
      <w:r w:rsidRPr="009A5BBA">
        <w:rPr>
          <w:rFonts w:ascii="FangSong" w:eastAsia="FangSong" w:hAnsi="FangSong" w:cs="宋体" w:hint="eastAsia"/>
          <w:color w:val="333333"/>
          <w:spacing w:val="8"/>
          <w:kern w:val="0"/>
          <w:sz w:val="30"/>
          <w:szCs w:val="30"/>
        </w:rPr>
        <w:t>一流课程、虚拟仿真实验教学一流课程继续按有关文件实施外，线下一流课程、线上线下混合式一流课程和社会实践一流课程采用以下推荐方式。</w:t>
      </w:r>
    </w:p>
    <w:p w14:paraId="58EEA6C3"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（一）推荐总额</w:t>
      </w:r>
    </w:p>
    <w:p w14:paraId="56805C55" w14:textId="05B11646"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教育部按照国家级线下一流课程、线上线下混合式一流课程和社会实践一流课程三年计划总数确定推荐总额，分别下达至中央部门所属高校和各省级教育行政部门。</w:t>
      </w:r>
    </w:p>
    <w:p w14:paraId="15630C63" w14:textId="77777777" w:rsidR="00B96F90" w:rsidRPr="009A5BBA" w:rsidRDefault="00B96F90" w:rsidP="001B479B">
      <w:pPr>
        <w:widowControl/>
        <w:shd w:val="clear" w:color="auto" w:fill="FFFFFF"/>
        <w:ind w:firstLineChars="205" w:firstLine="648"/>
        <w:outlineLvl w:val="1"/>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w:t>
      </w:r>
      <w:r w:rsidRPr="009A5BBA">
        <w:rPr>
          <w:rFonts w:ascii="FangSong" w:eastAsia="FangSong" w:hAnsi="FangSong" w:cs="宋体" w:hint="eastAsia"/>
          <w:b/>
          <w:bCs/>
          <w:color w:val="333333"/>
          <w:spacing w:val="8"/>
          <w:kern w:val="0"/>
          <w:sz w:val="30"/>
          <w:szCs w:val="30"/>
        </w:rPr>
        <w:t>二）分赛道推荐</w:t>
      </w:r>
    </w:p>
    <w:p w14:paraId="13DEEDD6" w14:textId="7ABC23DD"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按照中央部门所属高校、地方高校的办学定位和培养目标特点分赛道推荐，名额分列。部省合建高校推荐课程纳入中央部门所属高校赛道。</w:t>
      </w:r>
    </w:p>
    <w:p w14:paraId="6A56E33C"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（三）推荐方式</w:t>
      </w:r>
    </w:p>
    <w:p w14:paraId="2258735A" w14:textId="2A23947E"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中央部门所属高校、各省级教育行政部门根据教育部下达的三年推荐额度，在规定的年度上限数额内推荐。教育部直属高校直接报教育部，其他中央部门所属高校、部省合建高校</w:t>
      </w:r>
      <w:r w:rsidRPr="009A5BBA">
        <w:rPr>
          <w:rFonts w:ascii="FangSong" w:eastAsia="FangSong" w:hAnsi="FangSong" w:cs="宋体" w:hint="eastAsia"/>
          <w:color w:val="333333"/>
          <w:spacing w:val="8"/>
          <w:kern w:val="0"/>
          <w:sz w:val="30"/>
          <w:szCs w:val="30"/>
        </w:rPr>
        <w:lastRenderedPageBreak/>
        <w:t>经主管部门同意后报教育部；地方高校由省级教育行政部门统一报教育部。</w:t>
      </w:r>
    </w:p>
    <w:p w14:paraId="364E1585"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（四）推荐材料要求</w:t>
      </w:r>
    </w:p>
    <w:p w14:paraId="6C9C5047" w14:textId="2568B3B5"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课程团队须提交申报书、时长10分钟内的说课视频（包括教学理念、课程设计、课程实施、改革成效等）和其他佐证材料。</w:t>
      </w:r>
    </w:p>
    <w:p w14:paraId="43C0A024"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五、认定方式</w:t>
      </w:r>
    </w:p>
    <w:p w14:paraId="4FCC51BB" w14:textId="70FEBCA9"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教育部分年度组织专家对推荐课程进行认定，经公示后向社会发布。对课程团队成员存在师德师风问题、学术不端问题、五年内出现过重大教学事故，课程内容存在思想性科学性问题的，实行一票否决。</w:t>
      </w:r>
    </w:p>
    <w:p w14:paraId="6C6845CD" w14:textId="77777777" w:rsidR="00B96F90" w:rsidRPr="009A5BBA" w:rsidRDefault="00B96F90" w:rsidP="001B479B">
      <w:pPr>
        <w:widowControl/>
        <w:shd w:val="clear" w:color="auto" w:fill="FFFFFF"/>
        <w:ind w:firstLineChars="205" w:firstLine="650"/>
        <w:outlineLvl w:val="1"/>
        <w:rPr>
          <w:rFonts w:ascii="FangSong" w:eastAsia="FangSong" w:hAnsi="FangSong" w:cs="宋体"/>
          <w:color w:val="333333"/>
          <w:spacing w:val="8"/>
          <w:kern w:val="0"/>
          <w:sz w:val="30"/>
          <w:szCs w:val="30"/>
        </w:rPr>
      </w:pPr>
      <w:r w:rsidRPr="009A5BBA">
        <w:rPr>
          <w:rFonts w:ascii="FangSong" w:eastAsia="FangSong" w:hAnsi="FangSong" w:cs="宋体" w:hint="eastAsia"/>
          <w:b/>
          <w:bCs/>
          <w:color w:val="333333"/>
          <w:spacing w:val="8"/>
          <w:kern w:val="0"/>
          <w:sz w:val="30"/>
          <w:szCs w:val="30"/>
        </w:rPr>
        <w:t>六、认定课程管理</w:t>
      </w:r>
    </w:p>
    <w:p w14:paraId="774AC5A0" w14:textId="77777777" w:rsidR="00B96F90" w:rsidRPr="009A5BBA" w:rsidRDefault="00B96F90" w:rsidP="001B479B">
      <w:pPr>
        <w:widowControl/>
        <w:shd w:val="clear" w:color="auto" w:fill="FFFFFF"/>
        <w:spacing w:after="5"/>
        <w:ind w:firstLineChars="205" w:firstLine="648"/>
        <w:rPr>
          <w:rFonts w:ascii="FangSong" w:eastAsia="FangSong" w:hAnsi="FangSong" w:cs="宋体"/>
          <w:color w:val="333333"/>
          <w:spacing w:val="8"/>
          <w:kern w:val="0"/>
          <w:sz w:val="30"/>
          <w:szCs w:val="30"/>
        </w:rPr>
      </w:pPr>
      <w:r w:rsidRPr="009A5BBA">
        <w:rPr>
          <w:rFonts w:ascii="FangSong" w:eastAsia="FangSong" w:hAnsi="FangSong" w:cs="宋体" w:hint="eastAsia"/>
          <w:color w:val="333333"/>
          <w:spacing w:val="8"/>
          <w:kern w:val="0"/>
          <w:sz w:val="30"/>
          <w:szCs w:val="30"/>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14:paraId="43567ED7" w14:textId="77777777" w:rsidR="00DA3CBC" w:rsidRPr="009A5BBA" w:rsidRDefault="00DA3CBC" w:rsidP="001B479B">
      <w:pPr>
        <w:ind w:firstLineChars="205" w:firstLine="615"/>
        <w:rPr>
          <w:rFonts w:ascii="FangSong" w:eastAsia="FangSong" w:hAnsi="FangSong"/>
          <w:sz w:val="30"/>
          <w:szCs w:val="30"/>
        </w:rPr>
      </w:pPr>
    </w:p>
    <w:sectPr w:rsidR="00DA3CBC" w:rsidRPr="009A5B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4D896" w14:textId="77777777" w:rsidR="0089600B" w:rsidRDefault="0089600B" w:rsidP="009A5BBA">
      <w:r>
        <w:separator/>
      </w:r>
    </w:p>
  </w:endnote>
  <w:endnote w:type="continuationSeparator" w:id="0">
    <w:p w14:paraId="52456705" w14:textId="77777777" w:rsidR="0089600B" w:rsidRDefault="0089600B" w:rsidP="009A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996859"/>
      <w:docPartObj>
        <w:docPartGallery w:val="Page Numbers (Bottom of Page)"/>
        <w:docPartUnique/>
      </w:docPartObj>
    </w:sdtPr>
    <w:sdtEndPr/>
    <w:sdtContent>
      <w:p w14:paraId="765464AC" w14:textId="2DAE7772" w:rsidR="009A5BBA" w:rsidRDefault="009A5BBA">
        <w:pPr>
          <w:pStyle w:val="a7"/>
          <w:jc w:val="center"/>
        </w:pPr>
        <w:r>
          <w:fldChar w:fldCharType="begin"/>
        </w:r>
        <w:r>
          <w:instrText>PAGE   \* MERGEFORMAT</w:instrText>
        </w:r>
        <w:r>
          <w:fldChar w:fldCharType="separate"/>
        </w:r>
        <w:r w:rsidR="00B7425C" w:rsidRPr="00B7425C">
          <w:rPr>
            <w:noProof/>
            <w:lang w:val="zh-CN"/>
          </w:rPr>
          <w:t>1</w:t>
        </w:r>
        <w:r>
          <w:fldChar w:fldCharType="end"/>
        </w:r>
      </w:p>
    </w:sdtContent>
  </w:sdt>
  <w:p w14:paraId="19BC093E" w14:textId="77777777" w:rsidR="009A5BBA" w:rsidRDefault="009A5B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C867" w14:textId="77777777" w:rsidR="0089600B" w:rsidRDefault="0089600B" w:rsidP="009A5BBA">
      <w:r>
        <w:separator/>
      </w:r>
    </w:p>
  </w:footnote>
  <w:footnote w:type="continuationSeparator" w:id="0">
    <w:p w14:paraId="5AF61E61" w14:textId="77777777" w:rsidR="0089600B" w:rsidRDefault="0089600B" w:rsidP="009A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0F"/>
    <w:rsid w:val="001B479B"/>
    <w:rsid w:val="004C680F"/>
    <w:rsid w:val="0089600B"/>
    <w:rsid w:val="008D2419"/>
    <w:rsid w:val="009A5BBA"/>
    <w:rsid w:val="00A84974"/>
    <w:rsid w:val="00B7425C"/>
    <w:rsid w:val="00B96F90"/>
    <w:rsid w:val="00DA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C8A95"/>
  <w15:chartTrackingRefBased/>
  <w15:docId w15:val="{B80F53E4-EB4E-4517-BA7D-83727084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96F9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96F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F90"/>
    <w:rPr>
      <w:rFonts w:ascii="宋体" w:eastAsia="宋体" w:hAnsi="宋体" w:cs="宋体"/>
      <w:b/>
      <w:bCs/>
      <w:kern w:val="36"/>
      <w:sz w:val="48"/>
      <w:szCs w:val="48"/>
    </w:rPr>
  </w:style>
  <w:style w:type="character" w:customStyle="1" w:styleId="20">
    <w:name w:val="标题 2 字符"/>
    <w:basedOn w:val="a0"/>
    <w:link w:val="2"/>
    <w:uiPriority w:val="9"/>
    <w:rsid w:val="00B96F90"/>
    <w:rPr>
      <w:rFonts w:ascii="宋体" w:eastAsia="宋体" w:hAnsi="宋体" w:cs="宋体"/>
      <w:b/>
      <w:bCs/>
      <w:kern w:val="0"/>
      <w:sz w:val="36"/>
      <w:szCs w:val="36"/>
    </w:rPr>
  </w:style>
  <w:style w:type="character" w:styleId="a3">
    <w:name w:val="Strong"/>
    <w:basedOn w:val="a0"/>
    <w:uiPriority w:val="22"/>
    <w:qFormat/>
    <w:rsid w:val="00B96F90"/>
    <w:rPr>
      <w:b/>
      <w:bCs/>
    </w:rPr>
  </w:style>
  <w:style w:type="paragraph" w:styleId="a4">
    <w:name w:val="Normal (Web)"/>
    <w:basedOn w:val="a"/>
    <w:uiPriority w:val="99"/>
    <w:semiHidden/>
    <w:unhideWhenUsed/>
    <w:rsid w:val="00B96F9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96F90"/>
  </w:style>
  <w:style w:type="paragraph" w:styleId="a5">
    <w:name w:val="header"/>
    <w:basedOn w:val="a"/>
    <w:link w:val="a6"/>
    <w:uiPriority w:val="99"/>
    <w:unhideWhenUsed/>
    <w:rsid w:val="009A5B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A5BBA"/>
    <w:rPr>
      <w:sz w:val="18"/>
      <w:szCs w:val="18"/>
    </w:rPr>
  </w:style>
  <w:style w:type="paragraph" w:styleId="a7">
    <w:name w:val="footer"/>
    <w:basedOn w:val="a"/>
    <w:link w:val="a8"/>
    <w:uiPriority w:val="99"/>
    <w:unhideWhenUsed/>
    <w:rsid w:val="009A5BBA"/>
    <w:pPr>
      <w:tabs>
        <w:tab w:val="center" w:pos="4153"/>
        <w:tab w:val="right" w:pos="8306"/>
      </w:tabs>
      <w:snapToGrid w:val="0"/>
      <w:jc w:val="left"/>
    </w:pPr>
    <w:rPr>
      <w:sz w:val="18"/>
      <w:szCs w:val="18"/>
    </w:rPr>
  </w:style>
  <w:style w:type="character" w:customStyle="1" w:styleId="a8">
    <w:name w:val="页脚 字符"/>
    <w:basedOn w:val="a0"/>
    <w:link w:val="a7"/>
    <w:uiPriority w:val="99"/>
    <w:rsid w:val="009A5BBA"/>
    <w:rPr>
      <w:sz w:val="18"/>
      <w:szCs w:val="18"/>
    </w:rPr>
  </w:style>
  <w:style w:type="paragraph" w:styleId="a9">
    <w:name w:val="Balloon Text"/>
    <w:basedOn w:val="a"/>
    <w:link w:val="aa"/>
    <w:uiPriority w:val="99"/>
    <w:semiHidden/>
    <w:unhideWhenUsed/>
    <w:rsid w:val="00A84974"/>
    <w:rPr>
      <w:sz w:val="18"/>
      <w:szCs w:val="18"/>
    </w:rPr>
  </w:style>
  <w:style w:type="character" w:customStyle="1" w:styleId="aa">
    <w:name w:val="批注框文本 字符"/>
    <w:basedOn w:val="a0"/>
    <w:link w:val="a9"/>
    <w:uiPriority w:val="99"/>
    <w:semiHidden/>
    <w:rsid w:val="00A849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liyuan</dc:creator>
  <cp:keywords/>
  <dc:description/>
  <cp:lastModifiedBy>杨丽媛</cp:lastModifiedBy>
  <cp:revision>8</cp:revision>
  <cp:lastPrinted>2019-11-22T01:25:00Z</cp:lastPrinted>
  <dcterms:created xsi:type="dcterms:W3CDTF">2019-10-31T01:06:00Z</dcterms:created>
  <dcterms:modified xsi:type="dcterms:W3CDTF">2021-04-09T03:24:00Z</dcterms:modified>
</cp:coreProperties>
</file>