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25A9" w14:textId="0F53DC03" w:rsidR="00FF512C" w:rsidRDefault="00FF512C">
      <w:pPr>
        <w:spacing w:line="680" w:lineRule="atLeast"/>
        <w:rPr>
          <w:rStyle w:val="ae"/>
        </w:rPr>
      </w:pPr>
      <w:r w:rsidRPr="00FF512C">
        <w:rPr>
          <w:rStyle w:val="ae"/>
          <w:rFonts w:hint="eastAsia"/>
        </w:rPr>
        <w:t>附件</w:t>
      </w:r>
      <w:r w:rsidR="00BC7CDA">
        <w:rPr>
          <w:rStyle w:val="ae"/>
        </w:rPr>
        <w:t>4</w:t>
      </w:r>
      <w:r w:rsidRPr="00FF512C">
        <w:rPr>
          <w:rStyle w:val="ae"/>
        </w:rPr>
        <w:t>：</w:t>
      </w:r>
    </w:p>
    <w:p w14:paraId="2FD145A6" w14:textId="77777777" w:rsidR="008B42BF" w:rsidRDefault="008B42BF" w:rsidP="003E0D52">
      <w:pPr>
        <w:spacing w:line="580" w:lineRule="atLeast"/>
        <w:rPr>
          <w:rFonts w:ascii="方正小标宋_GBK" w:eastAsia="方正小标宋_GBK" w:hAnsi="黑体"/>
          <w:snapToGrid w:val="0"/>
          <w:color w:val="000000"/>
          <w:sz w:val="30"/>
          <w:szCs w:val="30"/>
        </w:rPr>
      </w:pPr>
    </w:p>
    <w:p w14:paraId="117C0216" w14:textId="34DCD5FE" w:rsidR="008B42BF" w:rsidRDefault="008B42BF" w:rsidP="003E0D52">
      <w:pPr>
        <w:pStyle w:val="ac"/>
        <w:rPr>
          <w:snapToGrid w:val="0"/>
        </w:rPr>
      </w:pPr>
      <w:r w:rsidRPr="0036668F">
        <w:rPr>
          <w:rFonts w:hint="eastAsia"/>
          <w:snapToGrid w:val="0"/>
        </w:rPr>
        <w:t>西南大学国家级</w:t>
      </w:r>
      <w:r w:rsidR="008B546D">
        <w:rPr>
          <w:rFonts w:hint="eastAsia"/>
          <w:snapToGrid w:val="0"/>
        </w:rPr>
        <w:t>和</w:t>
      </w:r>
      <w:proofErr w:type="gramStart"/>
      <w:r w:rsidRPr="0036668F">
        <w:rPr>
          <w:rFonts w:hint="eastAsia"/>
          <w:snapToGrid w:val="0"/>
        </w:rPr>
        <w:t>重庆市级</w:t>
      </w:r>
      <w:proofErr w:type="gramEnd"/>
      <w:r w:rsidRPr="0036668F">
        <w:rPr>
          <w:rFonts w:hint="eastAsia"/>
          <w:snapToGrid w:val="0"/>
        </w:rPr>
        <w:t>一流本科专业建设点建设发展导引（</w:t>
      </w:r>
      <w:r w:rsidRPr="0036668F">
        <w:rPr>
          <w:rFonts w:hint="eastAsia"/>
          <w:snapToGrid w:val="0"/>
        </w:rPr>
        <w:t>202</w:t>
      </w:r>
      <w:r w:rsidR="0037322F">
        <w:rPr>
          <w:snapToGrid w:val="0"/>
        </w:rPr>
        <w:t>2</w:t>
      </w:r>
      <w:r w:rsidRPr="0036668F">
        <w:rPr>
          <w:rFonts w:hint="eastAsia"/>
          <w:snapToGrid w:val="0"/>
        </w:rPr>
        <w:t>-202</w:t>
      </w:r>
      <w:r w:rsidR="0037322F">
        <w:rPr>
          <w:snapToGrid w:val="0"/>
        </w:rPr>
        <w:t>4</w:t>
      </w:r>
      <w:r w:rsidRPr="0036668F">
        <w:rPr>
          <w:rFonts w:hint="eastAsia"/>
          <w:snapToGrid w:val="0"/>
        </w:rPr>
        <w:t>年）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716"/>
        <w:gridCol w:w="5103"/>
      </w:tblGrid>
      <w:tr w:rsidR="008B42BF" w:rsidRPr="00563757" w14:paraId="6024F8F4" w14:textId="77777777" w:rsidTr="003E0D52">
        <w:trPr>
          <w:trHeight w:val="525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5D68C48E" w14:textId="2E970703" w:rsidR="008B42BF" w:rsidRPr="00D026E5" w:rsidRDefault="00026144" w:rsidP="008B42BF">
            <w:pPr>
              <w:pStyle w:val="a0"/>
              <w:jc w:val="center"/>
              <w:rPr>
                <w:snapToGrid w:val="0"/>
              </w:rPr>
            </w:pPr>
            <w:r>
              <w:br w:type="page"/>
            </w:r>
            <w:r w:rsidR="008B42BF">
              <w:rPr>
                <w:rFonts w:hint="eastAsia"/>
                <w:snapToGrid w:val="0"/>
              </w:rPr>
              <w:t>一级指标</w:t>
            </w:r>
          </w:p>
        </w:tc>
        <w:tc>
          <w:tcPr>
            <w:tcW w:w="2716" w:type="dxa"/>
            <w:vAlign w:val="center"/>
          </w:tcPr>
          <w:p w14:paraId="17496F21" w14:textId="77777777" w:rsidR="008B42BF" w:rsidRPr="00D026E5" w:rsidRDefault="008B42BF" w:rsidP="008B42BF">
            <w:pPr>
              <w:pStyle w:val="a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二级指标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38FBE8" w14:textId="77777777" w:rsidR="008B42BF" w:rsidRPr="00D026E5" w:rsidRDefault="008B42BF" w:rsidP="008B42BF">
            <w:pPr>
              <w:pStyle w:val="a0"/>
              <w:jc w:val="center"/>
              <w:rPr>
                <w:snapToGrid w:val="0"/>
              </w:rPr>
            </w:pPr>
            <w:r w:rsidRPr="00D026E5">
              <w:rPr>
                <w:snapToGrid w:val="0"/>
              </w:rPr>
              <w:t>具体内容</w:t>
            </w:r>
          </w:p>
        </w:tc>
      </w:tr>
      <w:tr w:rsidR="008B42BF" w:rsidRPr="00563757" w14:paraId="2DD364DF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056F8448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立德树人</w:t>
            </w:r>
          </w:p>
        </w:tc>
        <w:tc>
          <w:tcPr>
            <w:tcW w:w="2716" w:type="dxa"/>
            <w:vAlign w:val="center"/>
          </w:tcPr>
          <w:p w14:paraId="2232774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1</w:t>
            </w:r>
            <w:proofErr w:type="gramStart"/>
            <w:r>
              <w:rPr>
                <w:rFonts w:hint="eastAsia"/>
                <w:snapToGrid w:val="0"/>
              </w:rPr>
              <w:t>五</w:t>
            </w:r>
            <w:proofErr w:type="gramEnd"/>
            <w:r w:rsidRPr="00AF0130">
              <w:rPr>
                <w:rFonts w:hint="eastAsia"/>
                <w:snapToGrid w:val="0"/>
              </w:rPr>
              <w:t>育并举</w:t>
            </w:r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15BBD4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发</w:t>
            </w:r>
            <w:r w:rsidRPr="005C5A45">
              <w:rPr>
                <w:rFonts w:hint="eastAsia"/>
              </w:rPr>
              <w:t>展素质教育，深入推进体育、美育、劳动教育教学改革，促进学生身心健康，提高学</w:t>
            </w:r>
            <w:r w:rsidRPr="00AF0130">
              <w:rPr>
                <w:rFonts w:hint="eastAsia"/>
                <w:snapToGrid w:val="0"/>
              </w:rPr>
              <w:t>生审美和人文素养。</w:t>
            </w:r>
          </w:p>
        </w:tc>
      </w:tr>
      <w:tr w:rsidR="008B42BF" w:rsidRPr="00563757" w14:paraId="2F520CBA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1D182F9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</w:p>
        </w:tc>
        <w:tc>
          <w:tcPr>
            <w:tcW w:w="2716" w:type="dxa"/>
            <w:vAlign w:val="center"/>
          </w:tcPr>
          <w:p w14:paraId="7D9A5AA0" w14:textId="77777777" w:rsidR="008B42BF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2</w:t>
            </w:r>
            <w:proofErr w:type="gramStart"/>
            <w:r w:rsidRPr="00AF0130">
              <w:rPr>
                <w:rFonts w:hint="eastAsia"/>
                <w:snapToGrid w:val="0"/>
              </w:rPr>
              <w:t>三</w:t>
            </w:r>
            <w:proofErr w:type="gramEnd"/>
            <w:r w:rsidRPr="00AF0130">
              <w:rPr>
                <w:rFonts w:hint="eastAsia"/>
                <w:snapToGrid w:val="0"/>
              </w:rPr>
              <w:t>全育人</w:t>
            </w:r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93B9F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强化教师立德树人意识，构建全员、全过程、全方位育人格局。</w:t>
            </w:r>
            <w:r w:rsidRPr="00864ACC">
              <w:rPr>
                <w:rFonts w:hint="eastAsia"/>
                <w:snapToGrid w:val="0"/>
              </w:rPr>
              <w:t>发挥课堂教学作为人才培养的主渠道主阵地作用</w:t>
            </w:r>
            <w:r>
              <w:rPr>
                <w:rFonts w:hint="eastAsia"/>
                <w:snapToGrid w:val="0"/>
              </w:rPr>
              <w:t>。</w:t>
            </w:r>
            <w:r>
              <w:rPr>
                <w:snapToGrid w:val="0"/>
              </w:rPr>
              <w:t>马工程重点教材使用全覆盖</w:t>
            </w:r>
            <w:r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0254655C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9BF06CC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</w:p>
        </w:tc>
        <w:tc>
          <w:tcPr>
            <w:tcW w:w="2716" w:type="dxa"/>
            <w:vAlign w:val="center"/>
          </w:tcPr>
          <w:p w14:paraId="3074A809" w14:textId="77777777" w:rsidR="008B42BF" w:rsidRDefault="008B42BF" w:rsidP="008B42BF">
            <w:pPr>
              <w:pStyle w:val="aa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1.3</w:t>
            </w:r>
            <w:proofErr w:type="gramStart"/>
            <w:r>
              <w:rPr>
                <w:rFonts w:hint="eastAsia"/>
                <w:snapToGrid w:val="0"/>
              </w:rPr>
              <w:t>课程思政</w:t>
            </w:r>
            <w:proofErr w:type="gramEnd"/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5F38B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全面完成课程大纲修订工作，将思想政治教育元素有机融入所有课程，把社会主义核心价值观融入教育教学全过程。</w:t>
            </w:r>
          </w:p>
          <w:p w14:paraId="0E0F76F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建成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门以上的课程</w:t>
            </w:r>
            <w:proofErr w:type="gramStart"/>
            <w:r w:rsidRPr="00AF0130">
              <w:rPr>
                <w:snapToGrid w:val="0"/>
              </w:rPr>
              <w:t>思政重点</w:t>
            </w:r>
            <w:proofErr w:type="gramEnd"/>
            <w:r w:rsidRPr="00AF0130">
              <w:rPr>
                <w:snapToGrid w:val="0"/>
              </w:rPr>
              <w:t>课程</w:t>
            </w:r>
            <w:r w:rsidRPr="00AF0130">
              <w:rPr>
                <w:rFonts w:hint="eastAsia"/>
                <w:snapToGrid w:val="0"/>
              </w:rPr>
              <w:t>或示范课程。</w:t>
            </w:r>
          </w:p>
        </w:tc>
      </w:tr>
      <w:tr w:rsidR="008B42BF" w:rsidRPr="00563757" w14:paraId="518D0155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7AC13CA8" w14:textId="77777777" w:rsidR="008B42BF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2.</w:t>
            </w:r>
            <w:r>
              <w:rPr>
                <w:rFonts w:hint="eastAsia"/>
                <w:snapToGrid w:val="0"/>
              </w:rPr>
              <w:t>教学改革</w:t>
            </w:r>
          </w:p>
        </w:tc>
        <w:tc>
          <w:tcPr>
            <w:tcW w:w="2716" w:type="dxa"/>
            <w:vAlign w:val="center"/>
          </w:tcPr>
          <w:p w14:paraId="6240E8C0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2.1</w:t>
            </w:r>
            <w:r w:rsidRPr="00AF0130">
              <w:rPr>
                <w:rFonts w:hint="eastAsia"/>
                <w:snapToGrid w:val="0"/>
              </w:rPr>
              <w:t>教改项目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2DF7E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项</w:t>
            </w:r>
            <w:r w:rsidRPr="00AF0130">
              <w:rPr>
                <w:rFonts w:hint="eastAsia"/>
                <w:snapToGrid w:val="0"/>
              </w:rPr>
              <w:t>教育部教育</w:t>
            </w:r>
            <w:r w:rsidRPr="00AF0130">
              <w:rPr>
                <w:snapToGrid w:val="0"/>
              </w:rPr>
              <w:t>教学改革项目</w:t>
            </w:r>
            <w:r w:rsidRPr="00AF0130">
              <w:rPr>
                <w:rFonts w:hint="eastAsia"/>
                <w:snapToGrid w:val="0"/>
              </w:rPr>
              <w:t>，或</w:t>
            </w:r>
            <w:r w:rsidRPr="005F2F9C">
              <w:rPr>
                <w:rStyle w:val="a9"/>
                <w:rFonts w:eastAsia="方正仿宋_GBK"/>
              </w:rPr>
              <w:t>2</w:t>
            </w:r>
            <w:r w:rsidRPr="00AF0130">
              <w:rPr>
                <w:snapToGrid w:val="0"/>
              </w:rPr>
              <w:t>项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rFonts w:hint="eastAsia"/>
                <w:snapToGrid w:val="0"/>
              </w:rPr>
              <w:t>教育教学改革项目。</w:t>
            </w:r>
          </w:p>
        </w:tc>
      </w:tr>
      <w:tr w:rsidR="008B42BF" w:rsidRPr="00563757" w14:paraId="67A53966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9790999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37205C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2.2</w:t>
            </w:r>
            <w:r w:rsidRPr="00AF0130">
              <w:rPr>
                <w:rFonts w:hint="eastAsia"/>
                <w:snapToGrid w:val="0"/>
              </w:rPr>
              <w:t>教学成果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53886A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项省部级以上教学成果奖</w:t>
            </w:r>
            <w:r w:rsidRPr="00AF0130">
              <w:rPr>
                <w:rFonts w:hint="eastAsia"/>
                <w:snapToGrid w:val="0"/>
              </w:rPr>
              <w:t>，</w:t>
            </w:r>
            <w:r w:rsidRPr="00AF0130">
              <w:rPr>
                <w:rFonts w:hint="eastAsia"/>
                <w:snapToGrid w:val="0"/>
              </w:rPr>
              <w:lastRenderedPageBreak/>
              <w:t>或发表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篇教学改革相关的论文，或出版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本教学</w:t>
            </w:r>
            <w:r w:rsidRPr="00AF0130">
              <w:rPr>
                <w:rFonts w:hint="eastAsia"/>
                <w:snapToGrid w:val="0"/>
              </w:rPr>
              <w:t>改革类专著</w:t>
            </w:r>
            <w:r w:rsidRPr="00AF0130">
              <w:rPr>
                <w:snapToGrid w:val="0"/>
              </w:rPr>
              <w:t>。</w:t>
            </w:r>
          </w:p>
        </w:tc>
      </w:tr>
      <w:tr w:rsidR="008B42BF" w:rsidRPr="00563757" w14:paraId="05F3310D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897F7AA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9050708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2.3</w:t>
            </w:r>
            <w:r w:rsidRPr="00AF0130">
              <w:rPr>
                <w:rFonts w:hint="eastAsia"/>
                <w:snapToGrid w:val="0"/>
              </w:rPr>
              <w:t>“四新”专业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EB8251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以新理念、新形势、新方法推进新工科、新农科、新文科建设。</w:t>
            </w:r>
          </w:p>
        </w:tc>
      </w:tr>
      <w:tr w:rsidR="008B42BF" w:rsidRPr="00563757" w14:paraId="1B7AF597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5DAD681C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3.</w:t>
            </w:r>
            <w:r w:rsidRPr="00D026E5">
              <w:rPr>
                <w:snapToGrid w:val="0"/>
              </w:rPr>
              <w:t>教师</w:t>
            </w:r>
            <w:r>
              <w:rPr>
                <w:rFonts w:hint="eastAsia"/>
                <w:snapToGrid w:val="0"/>
              </w:rPr>
              <w:t>队伍</w:t>
            </w:r>
          </w:p>
        </w:tc>
        <w:tc>
          <w:tcPr>
            <w:tcW w:w="2716" w:type="dxa"/>
            <w:vAlign w:val="center"/>
          </w:tcPr>
          <w:p w14:paraId="607FD056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3.1</w:t>
            </w:r>
            <w:r w:rsidRPr="00AF0130">
              <w:rPr>
                <w:rFonts w:hint="eastAsia"/>
                <w:snapToGrid w:val="0"/>
              </w:rPr>
              <w:t>师德诚信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686F1A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本专业教师无重大师德</w:t>
            </w:r>
            <w:proofErr w:type="gramStart"/>
            <w:r w:rsidRPr="00AF0130">
              <w:rPr>
                <w:rFonts w:hint="eastAsia"/>
                <w:snapToGrid w:val="0"/>
              </w:rPr>
              <w:t>师风失范和</w:t>
            </w:r>
            <w:proofErr w:type="gramEnd"/>
            <w:r w:rsidRPr="00AF0130">
              <w:rPr>
                <w:rFonts w:hint="eastAsia"/>
                <w:snapToGrid w:val="0"/>
              </w:rPr>
              <w:t>学术不端行为。</w:t>
            </w:r>
          </w:p>
        </w:tc>
      </w:tr>
      <w:tr w:rsidR="008B42BF" w:rsidRPr="00563757" w14:paraId="6F2764F8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72C5DB9" w14:textId="77777777" w:rsidR="008B42BF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C14611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3.2</w:t>
            </w:r>
            <w:r w:rsidRPr="00AF0130">
              <w:rPr>
                <w:rFonts w:hint="eastAsia"/>
                <w:snapToGrid w:val="0"/>
              </w:rPr>
              <w:t>专业负责人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DCA15F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专业负责人积极开展本科教学工作，成效显著。</w:t>
            </w:r>
          </w:p>
        </w:tc>
      </w:tr>
      <w:tr w:rsidR="008B42BF" w:rsidRPr="00563757" w14:paraId="3B8A79A8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559656B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6194A64A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3.3</w:t>
            </w:r>
            <w:r w:rsidRPr="00AF0130">
              <w:rPr>
                <w:rFonts w:hint="eastAsia"/>
                <w:snapToGrid w:val="0"/>
              </w:rPr>
              <w:t>基层教学组织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BC5EB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基层教学组织</w:t>
            </w:r>
            <w:r w:rsidRPr="00AF0130">
              <w:rPr>
                <w:rFonts w:hint="eastAsia"/>
                <w:snapToGrid w:val="0"/>
              </w:rPr>
              <w:t>（或教研室、教学团队）体系</w:t>
            </w:r>
            <w:r w:rsidRPr="00AF0130">
              <w:rPr>
                <w:snapToGrid w:val="0"/>
              </w:rPr>
              <w:t>健全，教育教学研究活动开展广泛、成效显著。</w:t>
            </w:r>
          </w:p>
        </w:tc>
      </w:tr>
      <w:tr w:rsidR="008B42BF" w:rsidRPr="00563757" w14:paraId="6D017B52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A6A0071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F9FC3CB" w14:textId="77777777" w:rsidR="008B42BF" w:rsidRPr="00E97259" w:rsidRDefault="008B42BF" w:rsidP="008B42BF">
            <w:pPr>
              <w:pStyle w:val="aa"/>
              <w:jc w:val="left"/>
              <w:rPr>
                <w:snapToGrid w:val="0"/>
              </w:rPr>
            </w:pPr>
            <w:r>
              <w:rPr>
                <w:snapToGrid w:val="0"/>
              </w:rPr>
              <w:t>3.4</w:t>
            </w:r>
            <w:r>
              <w:rPr>
                <w:rFonts w:hint="eastAsia"/>
                <w:snapToGrid w:val="0"/>
              </w:rPr>
              <w:t>高级职称教师占比</w:t>
            </w:r>
            <w:r>
              <w:rPr>
                <w:snapToGrid w:val="0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272D4C" w14:textId="77777777" w:rsidR="008B42BF" w:rsidRPr="00E97259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高级职称教师所占比例不低于全校平均水平</w:t>
            </w:r>
            <w:r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5267F60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CE4FA43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761D7C0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3.5</w:t>
            </w:r>
            <w:r w:rsidRPr="00AF0130">
              <w:rPr>
                <w:rFonts w:hint="eastAsia"/>
                <w:snapToGrid w:val="0"/>
              </w:rPr>
              <w:t>教授为本科生上课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9E9A84" w14:textId="77777777" w:rsidR="008B42BF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全面落实教授为本科生上课制度</w:t>
            </w:r>
            <w:r>
              <w:rPr>
                <w:rFonts w:hint="eastAsia"/>
                <w:snapToGrid w:val="0"/>
              </w:rPr>
              <w:t>，</w:t>
            </w:r>
            <w:r w:rsidRPr="00AF0130">
              <w:rPr>
                <w:rFonts w:hint="eastAsia"/>
                <w:snapToGrid w:val="0"/>
              </w:rPr>
              <w:t>实际完成课时数不低于</w:t>
            </w:r>
            <w:r>
              <w:rPr>
                <w:rFonts w:hint="eastAsia"/>
                <w:snapToGrid w:val="0"/>
              </w:rPr>
              <w:t>学校相关要求。</w:t>
            </w:r>
          </w:p>
          <w:p w14:paraId="329ABBE1" w14:textId="77777777" w:rsidR="008B42BF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教授人均完成课时数</w:t>
            </w:r>
            <w:r w:rsidRPr="00665949">
              <w:rPr>
                <w:rFonts w:hint="eastAsia"/>
                <w:snapToGrid w:val="0"/>
              </w:rPr>
              <w:t>不低于全校平均水平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17E3167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0F18181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C0226FA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3.6</w:t>
            </w:r>
            <w:r w:rsidRPr="00AF0130">
              <w:rPr>
                <w:rFonts w:hint="eastAsia"/>
                <w:snapToGrid w:val="0"/>
              </w:rPr>
              <w:t>教师获得教学荣誉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9E1AF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人以上</w:t>
            </w:r>
            <w:r w:rsidRPr="00AF0130">
              <w:rPr>
                <w:rFonts w:hint="eastAsia"/>
                <w:snapToGrid w:val="0"/>
              </w:rPr>
              <w:t>获得</w:t>
            </w:r>
            <w:r w:rsidRPr="00AF0130">
              <w:rPr>
                <w:snapToGrid w:val="0"/>
              </w:rPr>
              <w:t>省部级以上</w:t>
            </w:r>
            <w:r w:rsidRPr="00AF0130">
              <w:rPr>
                <w:rFonts w:hint="eastAsia"/>
                <w:snapToGrid w:val="0"/>
              </w:rPr>
              <w:t>“教学名师”等</w:t>
            </w:r>
            <w:r w:rsidRPr="00AF0130">
              <w:rPr>
                <w:snapToGrid w:val="0"/>
              </w:rPr>
              <w:t>教学荣誉或称号（</w:t>
            </w:r>
            <w:r w:rsidRPr="00AF0130">
              <w:rPr>
                <w:rFonts w:hint="eastAsia"/>
                <w:snapToGrid w:val="0"/>
              </w:rPr>
              <w:t>或级别及影响力相当的其他教学荣誉或称号</w:t>
            </w:r>
            <w:r w:rsidRPr="00AF0130">
              <w:rPr>
                <w:snapToGrid w:val="0"/>
              </w:rPr>
              <w:t>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278DA533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113A1FED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4.</w:t>
            </w:r>
            <w:r w:rsidRPr="00D026E5">
              <w:rPr>
                <w:snapToGrid w:val="0"/>
              </w:rPr>
              <w:t>教学资源</w:t>
            </w:r>
          </w:p>
        </w:tc>
        <w:tc>
          <w:tcPr>
            <w:tcW w:w="2716" w:type="dxa"/>
            <w:vAlign w:val="center"/>
          </w:tcPr>
          <w:p w14:paraId="7DE782F6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4.1</w:t>
            </w:r>
            <w:r w:rsidRPr="00AF0130">
              <w:rPr>
                <w:rFonts w:hint="eastAsia"/>
                <w:snapToGrid w:val="0"/>
              </w:rPr>
              <w:t>优质课程资源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981C97" w14:textId="77777777" w:rsidR="008B42BF" w:rsidRDefault="008B42BF" w:rsidP="00BD06C9">
            <w:pPr>
              <w:rPr>
                <w:snapToGrid w:val="0"/>
              </w:rPr>
            </w:pP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门以上课程</w:t>
            </w:r>
            <w:r w:rsidRPr="00AF0130">
              <w:rPr>
                <w:rFonts w:hint="eastAsia"/>
                <w:snapToGrid w:val="0"/>
              </w:rPr>
              <w:t>被认定为国家级一流本科课程，</w:t>
            </w:r>
            <w:r w:rsidRPr="005F2F9C">
              <w:rPr>
                <w:rStyle w:val="a9"/>
                <w:rFonts w:eastAsia="方正仿宋_GBK"/>
              </w:rPr>
              <w:t>3</w:t>
            </w:r>
            <w:r w:rsidRPr="00AF0130">
              <w:rPr>
                <w:snapToGrid w:val="0"/>
              </w:rPr>
              <w:t>门以上课程被认定为</w:t>
            </w:r>
            <w:proofErr w:type="gramStart"/>
            <w:r w:rsidRPr="00AF0130">
              <w:rPr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一流本科课程。</w:t>
            </w:r>
          </w:p>
        </w:tc>
      </w:tr>
      <w:tr w:rsidR="008B42BF" w:rsidRPr="00563757" w14:paraId="5B0334A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00074EE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336B92D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4.2</w:t>
            </w:r>
            <w:r w:rsidRPr="00AF0130">
              <w:rPr>
                <w:rFonts w:hint="eastAsia"/>
                <w:snapToGrid w:val="0"/>
              </w:rPr>
              <w:t>核心课程学习资源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EC490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全面落实核心课程团队授课制度；</w:t>
            </w:r>
          </w:p>
          <w:p w14:paraId="43BA3E4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完成专业核心课程学习指南编写</w:t>
            </w:r>
            <w:r w:rsidRPr="00AF0130">
              <w:rPr>
                <w:rFonts w:hint="eastAsia"/>
                <w:snapToGrid w:val="0"/>
              </w:rPr>
              <w:t>；</w:t>
            </w:r>
          </w:p>
          <w:p w14:paraId="5AF3EE20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课堂讲授采用混合式教学（自建或引进</w:t>
            </w:r>
            <w:r w:rsidRPr="00AF0130">
              <w:rPr>
                <w:rFonts w:hint="eastAsia"/>
                <w:snapToGrid w:val="0"/>
              </w:rPr>
              <w:t>资源</w:t>
            </w:r>
            <w:r w:rsidRPr="00AF0130">
              <w:rPr>
                <w:snapToGrid w:val="0"/>
              </w:rPr>
              <w:t>）</w:t>
            </w:r>
            <w:r w:rsidRPr="00AF0130">
              <w:rPr>
                <w:rFonts w:hint="eastAsia"/>
                <w:snapToGrid w:val="0"/>
              </w:rPr>
              <w:t>，线下课程须采用</w:t>
            </w:r>
            <w:r w:rsidRPr="00AF0130">
              <w:rPr>
                <w:snapToGrid w:val="0"/>
              </w:rPr>
              <w:t>智慧教学工具。</w:t>
            </w:r>
          </w:p>
        </w:tc>
      </w:tr>
      <w:tr w:rsidR="008B42BF" w:rsidRPr="00563757" w14:paraId="336547D5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5074A73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3BFF39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4.3</w:t>
            </w:r>
            <w:r w:rsidRPr="00AF0130">
              <w:rPr>
                <w:rFonts w:hint="eastAsia"/>
                <w:snapToGrid w:val="0"/>
              </w:rPr>
              <w:t>优秀教材资源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F0010F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本以上教材入选省部级规划教材</w:t>
            </w:r>
            <w:r w:rsidRPr="00AF0130">
              <w:rPr>
                <w:rFonts w:hint="eastAsia"/>
                <w:snapToGrid w:val="0"/>
              </w:rPr>
              <w:t>（或教育部全国普通高等学校优秀教材二等奖、省一级审定通过并在国内使用的中小学教材及其以上成果）。</w:t>
            </w:r>
          </w:p>
        </w:tc>
      </w:tr>
      <w:tr w:rsidR="008B42BF" w:rsidRPr="00481316" w14:paraId="39780E56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F8196BC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39809AC4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4.4</w:t>
            </w:r>
            <w:r w:rsidRPr="00AF0130">
              <w:rPr>
                <w:rFonts w:hint="eastAsia"/>
                <w:snapToGrid w:val="0"/>
              </w:rPr>
              <w:t>在线资源建设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BE1D55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完成</w:t>
            </w:r>
            <w:r w:rsidRPr="005F2F9C">
              <w:rPr>
                <w:rStyle w:val="a9"/>
                <w:rFonts w:eastAsia="方正仿宋_GBK"/>
              </w:rPr>
              <w:t>10</w:t>
            </w:r>
            <w:r w:rsidRPr="00AF0130">
              <w:rPr>
                <w:rFonts w:hint="eastAsia"/>
                <w:snapToGrid w:val="0"/>
              </w:rPr>
              <w:t>门以上学科基础课程或专业发展必修课程在线课程建设，自建或校、院（部）立项均可。</w:t>
            </w:r>
          </w:p>
        </w:tc>
      </w:tr>
      <w:tr w:rsidR="008B42BF" w:rsidRPr="00563757" w14:paraId="71660E4F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4DCAC585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5.</w:t>
            </w:r>
            <w:r w:rsidRPr="00D026E5">
              <w:rPr>
                <w:rFonts w:hint="eastAsia"/>
                <w:snapToGrid w:val="0"/>
              </w:rPr>
              <w:t>合作实践</w:t>
            </w:r>
          </w:p>
        </w:tc>
        <w:tc>
          <w:tcPr>
            <w:tcW w:w="2716" w:type="dxa"/>
            <w:vAlign w:val="center"/>
          </w:tcPr>
          <w:p w14:paraId="770855B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5.1</w:t>
            </w:r>
            <w:r w:rsidRPr="00AF0130">
              <w:rPr>
                <w:rFonts w:hint="eastAsia"/>
                <w:snapToGrid w:val="0"/>
              </w:rPr>
              <w:t>协同育人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CCEB2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建立与社会用人部门合作更加紧密的，包括培养目标协同、教师队伍协同、资源共享、管理协同在内的人才培养协同机制，培养适应经济社会发展需要的高素质专门人才。</w:t>
            </w:r>
          </w:p>
        </w:tc>
      </w:tr>
      <w:tr w:rsidR="008B42BF" w:rsidRPr="00563757" w14:paraId="04B169C7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33FD00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721D7D87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5.2</w:t>
            </w:r>
            <w:r w:rsidRPr="00AF0130">
              <w:rPr>
                <w:rFonts w:hint="eastAsia"/>
                <w:snapToGrid w:val="0"/>
              </w:rPr>
              <w:t>基地（平台）建设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65992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5</w:t>
            </w:r>
            <w:r w:rsidRPr="00AF0130">
              <w:rPr>
                <w:snapToGrid w:val="0"/>
              </w:rPr>
              <w:t>个以上</w:t>
            </w:r>
            <w:r w:rsidRPr="00AF0130">
              <w:rPr>
                <w:rFonts w:hint="eastAsia"/>
                <w:snapToGrid w:val="0"/>
              </w:rPr>
              <w:t>与行业、企业共建的，达到国标要求、满足学生需要、合作机制完善、育人效果显著的实践教育</w:t>
            </w:r>
            <w:r w:rsidRPr="00AF0130">
              <w:rPr>
                <w:snapToGrid w:val="0"/>
              </w:rPr>
              <w:t>基地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60B3C0BF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533AD78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4A92949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5.3</w:t>
            </w:r>
            <w:r w:rsidRPr="00AF0130">
              <w:rPr>
                <w:rFonts w:hint="eastAsia"/>
                <w:snapToGrid w:val="0"/>
              </w:rPr>
              <w:t>国际交流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AF69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与</w:t>
            </w:r>
            <w:r w:rsidRPr="00AF0130">
              <w:rPr>
                <w:rFonts w:hint="eastAsia"/>
                <w:snapToGrid w:val="0"/>
              </w:rPr>
              <w:t>境</w:t>
            </w:r>
            <w:r w:rsidRPr="00AF0130">
              <w:rPr>
                <w:snapToGrid w:val="0"/>
              </w:rPr>
              <w:t>外高水平大学开展人才培养合作交流，交流学生</w:t>
            </w:r>
            <w:r w:rsidRPr="00AF0130">
              <w:rPr>
                <w:rFonts w:hint="eastAsia"/>
                <w:snapToGrid w:val="0"/>
              </w:rPr>
              <w:t>比例</w:t>
            </w:r>
            <w:r w:rsidRPr="00AF0130">
              <w:rPr>
                <w:snapToGrid w:val="0"/>
              </w:rPr>
              <w:t>不低于全校平均水平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569A0B8A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6AF645D0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6.</w:t>
            </w:r>
            <w:r>
              <w:rPr>
                <w:rFonts w:hint="eastAsia"/>
                <w:snapToGrid w:val="0"/>
              </w:rPr>
              <w:t>培养</w:t>
            </w:r>
            <w:r w:rsidRPr="00D026E5">
              <w:rPr>
                <w:snapToGrid w:val="0"/>
              </w:rPr>
              <w:t>质量</w:t>
            </w:r>
          </w:p>
        </w:tc>
        <w:tc>
          <w:tcPr>
            <w:tcW w:w="2716" w:type="dxa"/>
            <w:vAlign w:val="center"/>
          </w:tcPr>
          <w:p w14:paraId="04E1220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6.1</w:t>
            </w:r>
            <w:r w:rsidRPr="00AF0130">
              <w:rPr>
                <w:rFonts w:hint="eastAsia"/>
                <w:snapToGrid w:val="0"/>
              </w:rPr>
              <w:t>质量文化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E2CB3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建立完善的教学质量保障体系和教学质量持续改进闭环，形成以提高人才培养质量为核心的质量文化。不出现重大安全责任事故或重大教学事故。</w:t>
            </w:r>
          </w:p>
        </w:tc>
      </w:tr>
      <w:tr w:rsidR="008B42BF" w:rsidRPr="00563757" w14:paraId="55E1C60F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EB986D2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E76106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6.2</w:t>
            </w:r>
            <w:r w:rsidRPr="00AF0130">
              <w:rPr>
                <w:rFonts w:hint="eastAsia"/>
                <w:snapToGrid w:val="0"/>
              </w:rPr>
              <w:t>就业深造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5F879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年终</w:t>
            </w:r>
            <w:r w:rsidRPr="00AF0130">
              <w:rPr>
                <w:snapToGrid w:val="0"/>
              </w:rPr>
              <w:t>就业率达到</w:t>
            </w:r>
            <w:r w:rsidRPr="005F2F9C">
              <w:rPr>
                <w:rStyle w:val="a9"/>
                <w:rFonts w:eastAsia="方正仿宋_GBK"/>
              </w:rPr>
              <w:t>90%</w:t>
            </w:r>
            <w:r w:rsidRPr="00AF0130">
              <w:rPr>
                <w:snapToGrid w:val="0"/>
              </w:rPr>
              <w:t>以上</w:t>
            </w:r>
            <w:r w:rsidRPr="00AF0130">
              <w:rPr>
                <w:rFonts w:hint="eastAsia"/>
                <w:snapToGrid w:val="0"/>
              </w:rPr>
              <w:t>；培养目标达成度持续提升；国家级一流专业建设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snapToGrid w:val="0"/>
              </w:rPr>
              <w:t>毕业生深造率</w:t>
            </w:r>
            <w:r w:rsidRPr="00AF0130">
              <w:rPr>
                <w:rFonts w:hint="eastAsia"/>
                <w:snapToGrid w:val="0"/>
              </w:rPr>
              <w:t>及境外升学率</w:t>
            </w:r>
            <w:r w:rsidRPr="00AF0130">
              <w:rPr>
                <w:snapToGrid w:val="0"/>
              </w:rPr>
              <w:t>不低于</w:t>
            </w:r>
            <w:r w:rsidRPr="005F2F9C">
              <w:rPr>
                <w:rStyle w:val="a9"/>
                <w:rFonts w:eastAsia="方正仿宋_GBK"/>
              </w:rPr>
              <w:t>35%</w:t>
            </w:r>
            <w:r w:rsidRPr="00AF0130">
              <w:rPr>
                <w:snapToGrid w:val="0"/>
              </w:rPr>
              <w:t>，</w:t>
            </w:r>
            <w:proofErr w:type="gramStart"/>
            <w:r w:rsidRPr="00AF0130">
              <w:rPr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一流专业建设</w:t>
            </w:r>
            <w:proofErr w:type="gramStart"/>
            <w:r w:rsidRPr="00AF0130">
              <w:rPr>
                <w:snapToGrid w:val="0"/>
              </w:rPr>
              <w:t>点专业</w:t>
            </w:r>
            <w:proofErr w:type="gramEnd"/>
            <w:r w:rsidRPr="00AF0130">
              <w:rPr>
                <w:snapToGrid w:val="0"/>
              </w:rPr>
              <w:t>毕业生深造率及境外升学率不低于全校平均水平（公费师范</w:t>
            </w:r>
            <w:proofErr w:type="gramStart"/>
            <w:r w:rsidRPr="00AF0130">
              <w:rPr>
                <w:snapToGrid w:val="0"/>
              </w:rPr>
              <w:t>生专业</w:t>
            </w:r>
            <w:proofErr w:type="gramEnd"/>
            <w:r w:rsidRPr="00AF0130">
              <w:rPr>
                <w:snapToGrid w:val="0"/>
              </w:rPr>
              <w:t>除外）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DC85D6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1780065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3B3FF7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6.3</w:t>
            </w:r>
            <w:r w:rsidRPr="00AF0130">
              <w:rPr>
                <w:rFonts w:hint="eastAsia"/>
                <w:snapToGrid w:val="0"/>
              </w:rPr>
              <w:t>学生获奖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5BDA09" w14:textId="77777777" w:rsidR="008B42BF" w:rsidRDefault="008B42BF" w:rsidP="00BD06C9">
            <w:pPr>
              <w:rPr>
                <w:snapToGrid w:val="0"/>
              </w:rPr>
            </w:pP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人次以上学生在</w:t>
            </w:r>
            <w:r w:rsidRPr="00AF0130">
              <w:rPr>
                <w:rFonts w:hint="eastAsia"/>
                <w:snapToGrid w:val="0"/>
              </w:rPr>
              <w:t>挑战杯、互联网</w:t>
            </w:r>
            <w:r w:rsidRPr="00AF0130">
              <w:rPr>
                <w:snapToGrid w:val="0"/>
              </w:rPr>
              <w:t>+</w:t>
            </w:r>
            <w:r w:rsidRPr="00AF0130">
              <w:rPr>
                <w:snapToGrid w:val="0"/>
              </w:rPr>
              <w:t>创新创业大赛、全国数学建模大赛、全国电子设计大赛获得一等奖；</w:t>
            </w:r>
            <w:r w:rsidRPr="00AF0130">
              <w:rPr>
                <w:rFonts w:hint="eastAsia"/>
                <w:snapToGrid w:val="0"/>
              </w:rPr>
              <w:t>或在教育部组织或指导的其它学科及科技类竞赛获得最高等级奖；或在教育部教学指导委员会组织或指导的各类比赛获得最高等级奖；或在全国一级学会组织或指导的各类比赛获得最高等级奖；或在重庆市教委组织的各类比赛获得最高等级</w:t>
            </w:r>
            <w:r w:rsidRPr="00AF0130">
              <w:rPr>
                <w:rFonts w:hint="eastAsia"/>
                <w:snapToGrid w:val="0"/>
              </w:rPr>
              <w:lastRenderedPageBreak/>
              <w:t>奖。</w:t>
            </w:r>
          </w:p>
        </w:tc>
      </w:tr>
      <w:tr w:rsidR="008B42BF" w:rsidRPr="00563757" w14:paraId="06ACE172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0AB3A22B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7.</w:t>
            </w:r>
            <w:r>
              <w:rPr>
                <w:rFonts w:hint="eastAsia"/>
                <w:snapToGrid w:val="0"/>
              </w:rPr>
              <w:t>社会影响</w:t>
            </w:r>
          </w:p>
        </w:tc>
        <w:tc>
          <w:tcPr>
            <w:tcW w:w="2716" w:type="dxa"/>
            <w:vAlign w:val="center"/>
          </w:tcPr>
          <w:p w14:paraId="2861013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7.1</w:t>
            </w:r>
            <w:r w:rsidRPr="00AF0130">
              <w:rPr>
                <w:rFonts w:hint="eastAsia"/>
                <w:snapToGrid w:val="0"/>
              </w:rPr>
              <w:t>杰出人才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77B02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毕业生行业认可度和社会整体评价持续提升，涌现出一批杰出校友。</w:t>
            </w:r>
          </w:p>
        </w:tc>
      </w:tr>
      <w:tr w:rsidR="008B42BF" w:rsidRPr="00563757" w14:paraId="56D2460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315184C4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1F5F2F7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7.2</w:t>
            </w:r>
            <w:r w:rsidRPr="00AF0130">
              <w:rPr>
                <w:rFonts w:hint="eastAsia"/>
                <w:snapToGrid w:val="0"/>
              </w:rPr>
              <w:t>专业排名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BCC8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本专业在</w:t>
            </w:r>
            <w:r w:rsidRPr="00AF0130">
              <w:rPr>
                <w:snapToGrid w:val="0"/>
              </w:rPr>
              <w:t>“</w:t>
            </w:r>
            <w:r w:rsidRPr="00AF0130">
              <w:rPr>
                <w:snapToGrid w:val="0"/>
              </w:rPr>
              <w:t>校友会网</w:t>
            </w:r>
            <w:r w:rsidRPr="00AF0130">
              <w:rPr>
                <w:snapToGrid w:val="0"/>
              </w:rPr>
              <w:t>”</w:t>
            </w:r>
            <w:r w:rsidRPr="00AF0130">
              <w:rPr>
                <w:rFonts w:hint="eastAsia"/>
                <w:snapToGrid w:val="0"/>
              </w:rPr>
              <w:t>“软科”等知名度高、影响力大的排名中，</w:t>
            </w:r>
            <w:r w:rsidRPr="00AF0130">
              <w:rPr>
                <w:snapToGrid w:val="0"/>
              </w:rPr>
              <w:t>排名位数有</w:t>
            </w:r>
            <w:r>
              <w:rPr>
                <w:rFonts w:hint="eastAsia"/>
                <w:snapToGrid w:val="0"/>
              </w:rPr>
              <w:t>所</w:t>
            </w:r>
            <w:r w:rsidRPr="00AF0130">
              <w:rPr>
                <w:snapToGrid w:val="0"/>
              </w:rPr>
              <w:t>上升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1E066344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BD4BB4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B226D7D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7.3</w:t>
            </w:r>
            <w:r w:rsidRPr="00AF0130">
              <w:rPr>
                <w:rFonts w:hint="eastAsia"/>
                <w:snapToGrid w:val="0"/>
              </w:rPr>
              <w:t>示范引领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CF193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发挥示范引领作用，带动校内其他专业全面发展，国家级一流专业建设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应在国内外同一领域中产生较大积极影响，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rFonts w:hint="eastAsia"/>
                <w:snapToGrid w:val="0"/>
              </w:rPr>
              <w:t>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应在重庆市及西南地区产生较大积极影响。</w:t>
            </w:r>
          </w:p>
        </w:tc>
      </w:tr>
      <w:tr w:rsidR="008B42BF" w:rsidRPr="00563757" w14:paraId="1464356B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61AE1D8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05719E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7.4</w:t>
            </w:r>
            <w:r w:rsidRPr="00AF0130">
              <w:rPr>
                <w:rFonts w:hint="eastAsia"/>
                <w:snapToGrid w:val="0"/>
              </w:rPr>
              <w:t>媒体报道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6A5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社会媒体关于专业建设新进展、新成效报道的数量和质量持续增加。</w:t>
            </w:r>
          </w:p>
        </w:tc>
      </w:tr>
      <w:tr w:rsidR="008B42BF" w:rsidRPr="00563757" w14:paraId="22DCE22D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6362195E" w14:textId="77777777" w:rsidR="008B42BF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>
              <w:rPr>
                <w:rFonts w:hint="eastAsia"/>
                <w:snapToGrid w:val="0"/>
              </w:rPr>
              <w:t>综合水平</w:t>
            </w:r>
          </w:p>
        </w:tc>
        <w:tc>
          <w:tcPr>
            <w:tcW w:w="2716" w:type="dxa"/>
            <w:vAlign w:val="center"/>
          </w:tcPr>
          <w:p w14:paraId="457420A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8.1</w:t>
            </w:r>
            <w:r w:rsidRPr="00AF0130">
              <w:rPr>
                <w:rFonts w:hint="eastAsia"/>
                <w:snapToGrid w:val="0"/>
              </w:rPr>
              <w:t>一流本科专业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14DFDD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国家</w:t>
            </w:r>
            <w:r w:rsidRPr="00AF0130">
              <w:rPr>
                <w:rFonts w:hint="eastAsia"/>
                <w:snapToGrid w:val="0"/>
              </w:rPr>
              <w:t>级</w:t>
            </w:r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顺利通过</w:t>
            </w:r>
            <w:r w:rsidRPr="00AF0130">
              <w:rPr>
                <w:snapToGrid w:val="0"/>
              </w:rPr>
              <w:t>国家</w:t>
            </w:r>
            <w:r w:rsidRPr="00AF0130">
              <w:rPr>
                <w:rFonts w:hint="eastAsia"/>
                <w:snapToGrid w:val="0"/>
              </w:rPr>
              <w:t>级</w:t>
            </w:r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r w:rsidRPr="00AF0130">
              <w:rPr>
                <w:rFonts w:hint="eastAsia"/>
                <w:snapToGrid w:val="0"/>
              </w:rPr>
              <w:t>点验收；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顺利通过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r w:rsidRPr="00AF0130">
              <w:rPr>
                <w:rFonts w:hint="eastAsia"/>
                <w:snapToGrid w:val="0"/>
              </w:rPr>
              <w:t>点验收，积极申报</w:t>
            </w:r>
            <w:r w:rsidRPr="00AF0130">
              <w:rPr>
                <w:snapToGrid w:val="0"/>
              </w:rPr>
              <w:t>国家级一流本科专业建设点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0F16E9CA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0EDD975E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66049B68" w14:textId="77777777" w:rsidR="008B42BF" w:rsidRPr="0036668F" w:rsidRDefault="008B42BF" w:rsidP="008B42BF">
            <w:pPr>
              <w:pStyle w:val="aa"/>
              <w:jc w:val="left"/>
              <w:rPr>
                <w:snapToGrid w:val="0"/>
              </w:rPr>
            </w:pPr>
            <w:r w:rsidRPr="0036668F">
              <w:rPr>
                <w:snapToGrid w:val="0"/>
              </w:rPr>
              <w:t>8.2</w:t>
            </w:r>
            <w:r w:rsidRPr="0036668F">
              <w:rPr>
                <w:rFonts w:hint="eastAsia"/>
                <w:snapToGrid w:val="0"/>
              </w:rPr>
              <w:t>专业认证</w:t>
            </w:r>
            <w:r w:rsidRPr="0036668F">
              <w:rPr>
                <w:snapToGrid w:val="0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CACFB4" w14:textId="77777777" w:rsidR="008B42BF" w:rsidRPr="0036668F" w:rsidRDefault="008B42BF" w:rsidP="00BD06C9">
            <w:pPr>
              <w:rPr>
                <w:snapToGrid w:val="0"/>
              </w:rPr>
            </w:pPr>
            <w:r w:rsidRPr="0036668F">
              <w:rPr>
                <w:rFonts w:hint="eastAsia"/>
                <w:snapToGrid w:val="0"/>
              </w:rPr>
              <w:t>通过专业认证（针对已开展专业认证工作相关专业）。</w:t>
            </w:r>
          </w:p>
          <w:p w14:paraId="548F0DF2" w14:textId="77777777" w:rsidR="008B42BF" w:rsidRPr="0036668F" w:rsidRDefault="008B42BF" w:rsidP="00BD06C9">
            <w:pPr>
              <w:rPr>
                <w:snapToGrid w:val="0"/>
              </w:rPr>
            </w:pPr>
            <w:r w:rsidRPr="0036668F">
              <w:rPr>
                <w:rFonts w:hint="eastAsia"/>
                <w:snapToGrid w:val="0"/>
              </w:rPr>
              <w:t>达到专业认证要求（针对未开展专业认证工作相关专业）。</w:t>
            </w:r>
          </w:p>
        </w:tc>
      </w:tr>
      <w:tr w:rsidR="008B42BF" w:rsidRPr="00563757" w14:paraId="0699D8F0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D139AEF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742BB7A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8.3</w:t>
            </w:r>
            <w:r w:rsidRPr="00AF0130">
              <w:rPr>
                <w:rFonts w:hint="eastAsia"/>
                <w:snapToGrid w:val="0"/>
              </w:rPr>
              <w:t>特色项目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30C8F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专业可根据实际情况自行添加</w:t>
            </w:r>
            <w:r w:rsidRPr="005F2F9C">
              <w:rPr>
                <w:rStyle w:val="a9"/>
                <w:rFonts w:eastAsia="方正仿宋_GBK"/>
              </w:rPr>
              <w:t>1-2</w:t>
            </w:r>
            <w:r w:rsidRPr="00AF0130">
              <w:rPr>
                <w:rFonts w:hint="eastAsia"/>
                <w:snapToGrid w:val="0"/>
              </w:rPr>
              <w:lastRenderedPageBreak/>
              <w:t>项有特色的项目进行补充</w:t>
            </w:r>
            <w:r>
              <w:rPr>
                <w:rFonts w:hint="eastAsia"/>
                <w:snapToGrid w:val="0"/>
              </w:rPr>
              <w:t>，如拔尖创新人才培养、多元协同育人机制创新等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</w:tbl>
    <w:p w14:paraId="57242DAD" w14:textId="07385A58" w:rsidR="00605160" w:rsidRDefault="008B42BF" w:rsidP="008B42BF">
      <w:pPr>
        <w:rPr>
          <w:snapToGrid w:val="0"/>
        </w:rPr>
      </w:pPr>
      <w:r w:rsidRPr="008B42BF">
        <w:rPr>
          <w:rFonts w:hint="eastAsia"/>
          <w:b/>
          <w:bCs/>
          <w:snapToGrid w:val="0"/>
        </w:rPr>
        <w:lastRenderedPageBreak/>
        <w:t>说明：</w:t>
      </w:r>
      <w:r w:rsidRPr="00AF0130">
        <w:rPr>
          <w:rFonts w:hint="eastAsia"/>
          <w:snapToGrid w:val="0"/>
        </w:rPr>
        <w:t>上述带“</w:t>
      </w:r>
      <w:r w:rsidRPr="00AF0130">
        <w:rPr>
          <w:snapToGrid w:val="0"/>
        </w:rPr>
        <w:t>**</w:t>
      </w:r>
      <w:r w:rsidRPr="00AF0130">
        <w:rPr>
          <w:rFonts w:hint="eastAsia"/>
          <w:snapToGrid w:val="0"/>
        </w:rPr>
        <w:t>”“</w:t>
      </w:r>
      <w:r w:rsidRPr="00AF0130">
        <w:rPr>
          <w:snapToGrid w:val="0"/>
        </w:rPr>
        <w:t>*”</w:t>
      </w:r>
      <w:r w:rsidRPr="00AF0130">
        <w:rPr>
          <w:rFonts w:hint="eastAsia"/>
          <w:snapToGrid w:val="0"/>
        </w:rPr>
        <w:t>内容为约束性指标，</w:t>
      </w:r>
      <w:r w:rsidRPr="005F2F9C">
        <w:rPr>
          <w:rStyle w:val="a9"/>
          <w:rFonts w:eastAsia="方正仿宋_GBK"/>
        </w:rPr>
        <w:t>202</w:t>
      </w:r>
      <w:r w:rsidR="0037322F">
        <w:rPr>
          <w:rStyle w:val="a9"/>
          <w:rFonts w:eastAsia="方正仿宋_GBK"/>
        </w:rPr>
        <w:t>2</w:t>
      </w:r>
      <w:r w:rsidRPr="005F2F9C">
        <w:rPr>
          <w:rStyle w:val="a9"/>
          <w:rFonts w:eastAsia="方正仿宋_GBK"/>
        </w:rPr>
        <w:t>-202</w:t>
      </w:r>
      <w:r w:rsidR="0037322F">
        <w:rPr>
          <w:rStyle w:val="a9"/>
          <w:rFonts w:eastAsia="方正仿宋_GBK"/>
        </w:rPr>
        <w:t>4</w:t>
      </w:r>
      <w:r w:rsidRPr="00AF0130">
        <w:rPr>
          <w:rFonts w:hint="eastAsia"/>
          <w:snapToGrid w:val="0"/>
        </w:rPr>
        <w:t>年内必须完成。“</w:t>
      </w:r>
      <w:r w:rsidRPr="00AF0130">
        <w:rPr>
          <w:snapToGrid w:val="0"/>
        </w:rPr>
        <w:t>**”</w:t>
      </w:r>
      <w:r w:rsidRPr="00AF0130">
        <w:rPr>
          <w:rFonts w:hint="eastAsia"/>
          <w:snapToGrid w:val="0"/>
        </w:rPr>
        <w:t>同时针对国家级一流专业建设点和</w:t>
      </w:r>
      <w:proofErr w:type="gramStart"/>
      <w:r w:rsidRPr="00AF0130">
        <w:rPr>
          <w:rFonts w:hint="eastAsia"/>
          <w:snapToGrid w:val="0"/>
        </w:rPr>
        <w:t>重庆市级</w:t>
      </w:r>
      <w:proofErr w:type="gramEnd"/>
      <w:r w:rsidRPr="00AF0130">
        <w:rPr>
          <w:rFonts w:hint="eastAsia"/>
          <w:snapToGrid w:val="0"/>
        </w:rPr>
        <w:t>一流专业建设点，“</w:t>
      </w:r>
      <w:r w:rsidRPr="00AF0130">
        <w:rPr>
          <w:snapToGrid w:val="0"/>
        </w:rPr>
        <w:t>*”</w:t>
      </w:r>
      <w:r w:rsidRPr="00AF0130">
        <w:rPr>
          <w:rFonts w:hint="eastAsia"/>
          <w:snapToGrid w:val="0"/>
        </w:rPr>
        <w:t>仅针对</w:t>
      </w:r>
      <w:r>
        <w:rPr>
          <w:rFonts w:hint="eastAsia"/>
          <w:snapToGrid w:val="0"/>
        </w:rPr>
        <w:t>国家级</w:t>
      </w:r>
      <w:r w:rsidRPr="00AF0130">
        <w:rPr>
          <w:rFonts w:hint="eastAsia"/>
          <w:snapToGrid w:val="0"/>
        </w:rPr>
        <w:t>一流专业建设点。</w:t>
      </w:r>
    </w:p>
    <w:p w14:paraId="55256287" w14:textId="77777777" w:rsidR="00FF512C" w:rsidRPr="008B42BF" w:rsidRDefault="00FF512C" w:rsidP="00DB6F06">
      <w:pPr>
        <w:rPr>
          <w:snapToGrid w:val="0"/>
        </w:rPr>
      </w:pPr>
    </w:p>
    <w:sectPr w:rsidR="00FF512C" w:rsidRPr="008B42BF" w:rsidSect="00DB6F06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749391"/>
      <w:docPartObj>
        <w:docPartGallery w:val="Page Numbers (Bottom of Page)"/>
        <w:docPartUnique/>
      </w:docPartObj>
    </w:sdtPr>
    <w:sdtEndPr/>
    <w:sdtContent>
      <w:p w14:paraId="7F638671" w14:textId="70A7B17C" w:rsidR="00FB0564" w:rsidRDefault="00FB0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86" w:rsidRPr="002F3F86">
          <w:rPr>
            <w:noProof/>
            <w:lang w:val="zh-CN"/>
          </w:rPr>
          <w:t>16</w:t>
        </w:r>
        <w:r>
          <w:fldChar w:fldCharType="end"/>
        </w:r>
      </w:p>
    </w:sdtContent>
  </w:sdt>
  <w:p w14:paraId="2829947D" w14:textId="77777777" w:rsidR="00FB0564" w:rsidRDefault="00FB0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497031">
    <w:abstractNumId w:val="0"/>
  </w:num>
  <w:num w:numId="2" w16cid:durableId="147155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7322F"/>
    <w:rsid w:val="003E0D52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65D15"/>
    <w:rsid w:val="00A71E33"/>
    <w:rsid w:val="00AD417A"/>
    <w:rsid w:val="00AD43E4"/>
    <w:rsid w:val="00AD5B03"/>
    <w:rsid w:val="00B37CC2"/>
    <w:rsid w:val="00B63FFD"/>
    <w:rsid w:val="00B855AA"/>
    <w:rsid w:val="00B90F86"/>
    <w:rsid w:val="00BC7CDA"/>
    <w:rsid w:val="00BD06C9"/>
    <w:rsid w:val="00CE468D"/>
    <w:rsid w:val="00CF1F47"/>
    <w:rsid w:val="00DA1D6E"/>
    <w:rsid w:val="00DA3CBC"/>
    <w:rsid w:val="00DB6F06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89</cp:revision>
  <dcterms:created xsi:type="dcterms:W3CDTF">2020-04-11T13:23:00Z</dcterms:created>
  <dcterms:modified xsi:type="dcterms:W3CDTF">2022-09-06T08:57:00Z</dcterms:modified>
</cp:coreProperties>
</file>